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40AE8" w14:textId="7AF2420E" w:rsidR="00B224EF" w:rsidRPr="00235690" w:rsidRDefault="00B224EF" w:rsidP="00235690">
      <w:pPr>
        <w:pStyle w:val="Heading1"/>
        <w:spacing w:line="264" w:lineRule="auto"/>
        <w:ind w:firstLine="0"/>
        <w:jc w:val="center"/>
        <w:rPr>
          <w:sz w:val="34"/>
          <w:szCs w:val="34"/>
          <w:lang w:eastAsia="da-DK"/>
        </w:rPr>
      </w:pPr>
      <w:bookmarkStart w:id="0" w:name="_Toc455585803"/>
      <w:bookmarkStart w:id="1" w:name="_Toc470785817"/>
      <w:bookmarkStart w:id="2" w:name="_Toc470788390"/>
      <w:bookmarkStart w:id="3" w:name="_Toc470961216"/>
      <w:bookmarkStart w:id="4" w:name="_Toc473385525"/>
      <w:bookmarkStart w:id="5" w:name="_GoBack"/>
      <w:bookmarkEnd w:id="5"/>
      <w:r w:rsidRPr="00235690">
        <w:rPr>
          <w:sz w:val="34"/>
          <w:szCs w:val="34"/>
          <w:lang w:eastAsia="da-DK"/>
        </w:rPr>
        <w:t>Pro-</w:t>
      </w:r>
      <w:r w:rsidR="00235690" w:rsidRPr="00235690">
        <w:rPr>
          <w:sz w:val="34"/>
          <w:szCs w:val="34"/>
          <w:lang w:eastAsia="da-DK"/>
        </w:rPr>
        <w:t>E</w:t>
      </w:r>
      <w:r w:rsidRPr="00235690">
        <w:rPr>
          <w:sz w:val="34"/>
          <w:szCs w:val="34"/>
          <w:lang w:eastAsia="da-DK"/>
        </w:rPr>
        <w:t>l</w:t>
      </w:r>
      <w:r w:rsidR="00235690" w:rsidRPr="00235690">
        <w:rPr>
          <w:sz w:val="34"/>
          <w:szCs w:val="34"/>
          <w:lang w:eastAsia="da-DK"/>
        </w:rPr>
        <w:t>derly Welfare S</w:t>
      </w:r>
      <w:r w:rsidRPr="00235690">
        <w:rPr>
          <w:sz w:val="34"/>
          <w:szCs w:val="34"/>
          <w:lang w:eastAsia="da-DK"/>
        </w:rPr>
        <w:t xml:space="preserve">tates within </w:t>
      </w:r>
      <w:r w:rsidR="00235690" w:rsidRPr="00235690">
        <w:rPr>
          <w:sz w:val="34"/>
          <w:szCs w:val="34"/>
          <w:lang w:eastAsia="da-DK"/>
        </w:rPr>
        <w:t>C</w:t>
      </w:r>
      <w:r w:rsidRPr="00235690">
        <w:rPr>
          <w:sz w:val="34"/>
          <w:szCs w:val="34"/>
          <w:lang w:eastAsia="da-DK"/>
        </w:rPr>
        <w:t>hild</w:t>
      </w:r>
      <w:r w:rsidR="00235690" w:rsidRPr="00235690">
        <w:rPr>
          <w:sz w:val="34"/>
          <w:szCs w:val="34"/>
          <w:lang w:eastAsia="da-DK"/>
        </w:rPr>
        <w:t>-O</w:t>
      </w:r>
      <w:r w:rsidRPr="00235690">
        <w:rPr>
          <w:sz w:val="34"/>
          <w:szCs w:val="34"/>
          <w:lang w:eastAsia="da-DK"/>
        </w:rPr>
        <w:t>riented</w:t>
      </w:r>
      <w:r w:rsidR="00235690" w:rsidRPr="00235690">
        <w:rPr>
          <w:sz w:val="34"/>
          <w:szCs w:val="34"/>
          <w:lang w:eastAsia="da-DK"/>
        </w:rPr>
        <w:t xml:space="preserve"> S</w:t>
      </w:r>
      <w:r w:rsidRPr="00235690">
        <w:rPr>
          <w:sz w:val="34"/>
          <w:szCs w:val="34"/>
          <w:lang w:eastAsia="da-DK"/>
        </w:rPr>
        <w:t>ocieties</w:t>
      </w:r>
    </w:p>
    <w:p w14:paraId="07C33988" w14:textId="77777777" w:rsidR="00B224EF" w:rsidRPr="004455DB" w:rsidRDefault="00B224EF" w:rsidP="00235690">
      <w:pPr>
        <w:spacing w:line="264" w:lineRule="auto"/>
        <w:ind w:firstLine="0"/>
        <w:jc w:val="center"/>
      </w:pPr>
    </w:p>
    <w:p w14:paraId="6782C250" w14:textId="77777777" w:rsidR="00B224EF" w:rsidRPr="00387E5E" w:rsidRDefault="00B224EF" w:rsidP="00235690">
      <w:pPr>
        <w:spacing w:line="264" w:lineRule="auto"/>
        <w:ind w:firstLine="0"/>
        <w:jc w:val="center"/>
        <w:rPr>
          <w:b/>
          <w:vertAlign w:val="superscript"/>
        </w:rPr>
      </w:pPr>
      <w:proofErr w:type="spellStart"/>
      <w:r w:rsidRPr="00387E5E">
        <w:rPr>
          <w:b/>
        </w:rPr>
        <w:t>Róbert</w:t>
      </w:r>
      <w:proofErr w:type="spellEnd"/>
      <w:r w:rsidRPr="00387E5E">
        <w:rPr>
          <w:b/>
        </w:rPr>
        <w:t xml:space="preserve"> </w:t>
      </w:r>
      <w:proofErr w:type="spellStart"/>
      <w:r w:rsidRPr="00387E5E">
        <w:rPr>
          <w:b/>
        </w:rPr>
        <w:t>Iván</w:t>
      </w:r>
      <w:proofErr w:type="spellEnd"/>
      <w:r w:rsidRPr="00387E5E">
        <w:rPr>
          <w:b/>
        </w:rPr>
        <w:t xml:space="preserve"> </w:t>
      </w:r>
      <w:proofErr w:type="spellStart"/>
      <w:r w:rsidRPr="00387E5E">
        <w:rPr>
          <w:b/>
        </w:rPr>
        <w:t>Gál</w:t>
      </w:r>
      <w:proofErr w:type="gramStart"/>
      <w:r w:rsidRPr="00387E5E">
        <w:rPr>
          <w:b/>
        </w:rPr>
        <w:t>,</w:t>
      </w:r>
      <w:r w:rsidRPr="00387E5E">
        <w:rPr>
          <w:b/>
          <w:vertAlign w:val="superscript"/>
        </w:rPr>
        <w:t>a</w:t>
      </w:r>
      <w:proofErr w:type="spellEnd"/>
      <w:proofErr w:type="gramEnd"/>
      <w:r w:rsidRPr="00387E5E">
        <w:rPr>
          <w:b/>
        </w:rPr>
        <w:t xml:space="preserve"> Pieter </w:t>
      </w:r>
      <w:proofErr w:type="spellStart"/>
      <w:r w:rsidRPr="00387E5E">
        <w:rPr>
          <w:b/>
        </w:rPr>
        <w:t>Vanhuysse,</w:t>
      </w:r>
      <w:r w:rsidRPr="00387E5E">
        <w:rPr>
          <w:b/>
          <w:vertAlign w:val="superscript"/>
        </w:rPr>
        <w:t>b</w:t>
      </w:r>
      <w:proofErr w:type="spellEnd"/>
      <w:r w:rsidRPr="00387E5E">
        <w:rPr>
          <w:b/>
          <w:vertAlign w:val="superscript"/>
        </w:rPr>
        <w:t xml:space="preserve"> c</w:t>
      </w:r>
      <w:r w:rsidRPr="00387E5E">
        <w:rPr>
          <w:b/>
        </w:rPr>
        <w:t xml:space="preserve"> and Lili </w:t>
      </w:r>
      <w:proofErr w:type="spellStart"/>
      <w:r w:rsidRPr="00387E5E">
        <w:rPr>
          <w:b/>
        </w:rPr>
        <w:t>Vargha</w:t>
      </w:r>
      <w:r w:rsidRPr="00387E5E">
        <w:rPr>
          <w:b/>
          <w:vertAlign w:val="superscript"/>
        </w:rPr>
        <w:t>d</w:t>
      </w:r>
      <w:proofErr w:type="spellEnd"/>
    </w:p>
    <w:p w14:paraId="09D7A590" w14:textId="77777777" w:rsidR="00235690" w:rsidRDefault="00235690" w:rsidP="00235690">
      <w:pPr>
        <w:spacing w:line="264" w:lineRule="auto"/>
        <w:ind w:firstLine="0"/>
        <w:jc w:val="center"/>
        <w:rPr>
          <w:sz w:val="20"/>
          <w:szCs w:val="20"/>
        </w:rPr>
      </w:pPr>
    </w:p>
    <w:p w14:paraId="75A46CCE" w14:textId="2954F7E4" w:rsidR="00235690" w:rsidRPr="00235690" w:rsidRDefault="00480865" w:rsidP="00235690">
      <w:pPr>
        <w:spacing w:line="264" w:lineRule="auto"/>
        <w:ind w:firstLine="0"/>
        <w:jc w:val="center"/>
        <w:rPr>
          <w:sz w:val="20"/>
          <w:szCs w:val="20"/>
        </w:rPr>
      </w:pPr>
      <w:r>
        <w:rPr>
          <w:sz w:val="20"/>
          <w:szCs w:val="20"/>
        </w:rPr>
        <w:t>F</w:t>
      </w:r>
      <w:r w:rsidR="00280290">
        <w:rPr>
          <w:sz w:val="20"/>
          <w:szCs w:val="20"/>
        </w:rPr>
        <w:t>or</w:t>
      </w:r>
      <w:r>
        <w:rPr>
          <w:sz w:val="20"/>
          <w:szCs w:val="20"/>
        </w:rPr>
        <w:t xml:space="preserve"> </w:t>
      </w:r>
      <w:r>
        <w:rPr>
          <w:i/>
          <w:sz w:val="20"/>
          <w:szCs w:val="20"/>
        </w:rPr>
        <w:t>NTA working paper series</w:t>
      </w:r>
      <w:r w:rsidR="00280290">
        <w:rPr>
          <w:sz w:val="20"/>
          <w:szCs w:val="20"/>
        </w:rPr>
        <w:t xml:space="preserve">, </w:t>
      </w:r>
      <w:r>
        <w:rPr>
          <w:sz w:val="20"/>
          <w:szCs w:val="20"/>
        </w:rPr>
        <w:t>June 20</w:t>
      </w:r>
      <w:r w:rsidR="00235690" w:rsidRPr="00235690">
        <w:rPr>
          <w:sz w:val="20"/>
          <w:szCs w:val="20"/>
        </w:rPr>
        <w:t>, 2017</w:t>
      </w:r>
    </w:p>
    <w:p w14:paraId="3267225D" w14:textId="77777777" w:rsidR="00B224EF" w:rsidRPr="00235690" w:rsidRDefault="00B224EF" w:rsidP="00B224EF">
      <w:pPr>
        <w:pStyle w:val="m-3658730856976712719gmail-msolistparagraph"/>
        <w:shd w:val="clear" w:color="auto" w:fill="FFFFFF"/>
        <w:rPr>
          <w:color w:val="222222"/>
          <w:sz w:val="22"/>
          <w:szCs w:val="22"/>
          <w:lang w:val="en-US"/>
        </w:rPr>
      </w:pPr>
      <w:r w:rsidRPr="00235690">
        <w:rPr>
          <w:sz w:val="22"/>
          <w:szCs w:val="22"/>
          <w:vertAlign w:val="superscript"/>
          <w:lang w:val="en-US"/>
        </w:rPr>
        <w:t>a</w:t>
      </w:r>
      <w:r w:rsidRPr="00235690">
        <w:rPr>
          <w:sz w:val="22"/>
          <w:szCs w:val="22"/>
          <w:lang w:val="en-US"/>
        </w:rPr>
        <w:t xml:space="preserve"> Senior Researcher, Hungarian Demographic Research Institute, B</w:t>
      </w:r>
      <w:proofErr w:type="spellStart"/>
      <w:r w:rsidRPr="00235690">
        <w:rPr>
          <w:color w:val="222222"/>
          <w:sz w:val="22"/>
          <w:szCs w:val="22"/>
          <w:lang w:val="en-GB"/>
        </w:rPr>
        <w:t>uday</w:t>
      </w:r>
      <w:proofErr w:type="spellEnd"/>
      <w:r w:rsidRPr="00235690">
        <w:rPr>
          <w:color w:val="222222"/>
          <w:sz w:val="22"/>
          <w:szCs w:val="22"/>
          <w:lang w:val="en-GB"/>
        </w:rPr>
        <w:t xml:space="preserve"> Laszlo </w:t>
      </w:r>
      <w:proofErr w:type="spellStart"/>
      <w:r w:rsidRPr="00235690">
        <w:rPr>
          <w:color w:val="222222"/>
          <w:sz w:val="22"/>
          <w:szCs w:val="22"/>
          <w:lang w:val="en-GB"/>
        </w:rPr>
        <w:t>utca</w:t>
      </w:r>
      <w:proofErr w:type="spellEnd"/>
      <w:r w:rsidRPr="00235690">
        <w:rPr>
          <w:color w:val="222222"/>
          <w:sz w:val="22"/>
          <w:szCs w:val="22"/>
          <w:lang w:val="en-GB"/>
        </w:rPr>
        <w:t xml:space="preserve"> 1-3, 1024 Budapest, Hungary; e: </w:t>
      </w:r>
      <w:hyperlink r:id="rId10" w:history="1">
        <w:r w:rsidRPr="00235690">
          <w:rPr>
            <w:rStyle w:val="Hyperlink"/>
            <w:sz w:val="22"/>
            <w:szCs w:val="22"/>
            <w:lang w:val="en-GB"/>
          </w:rPr>
          <w:t>gal@demografia.hu</w:t>
        </w:r>
      </w:hyperlink>
    </w:p>
    <w:p w14:paraId="012015F1" w14:textId="4AFC2DAC" w:rsidR="00B224EF" w:rsidRPr="00235690" w:rsidRDefault="00B224EF" w:rsidP="00235690">
      <w:pPr>
        <w:ind w:firstLine="0"/>
        <w:jc w:val="left"/>
        <w:rPr>
          <w:sz w:val="22"/>
          <w:szCs w:val="22"/>
          <w:lang w:val="en-US"/>
        </w:rPr>
      </w:pPr>
      <w:r w:rsidRPr="00235690">
        <w:rPr>
          <w:sz w:val="22"/>
          <w:szCs w:val="22"/>
          <w:vertAlign w:val="superscript"/>
        </w:rPr>
        <w:t>b</w:t>
      </w:r>
      <w:r w:rsidRPr="00235690">
        <w:rPr>
          <w:sz w:val="22"/>
          <w:szCs w:val="22"/>
        </w:rPr>
        <w:t xml:space="preserve"> Corresponding author</w:t>
      </w:r>
      <w:r w:rsidR="00235690" w:rsidRPr="00235690">
        <w:rPr>
          <w:sz w:val="22"/>
          <w:szCs w:val="22"/>
        </w:rPr>
        <w:t xml:space="preserve"> </w:t>
      </w:r>
      <w:r w:rsidRPr="00235690">
        <w:rPr>
          <w:color w:val="222222"/>
          <w:sz w:val="22"/>
          <w:szCs w:val="22"/>
        </w:rPr>
        <w:t xml:space="preserve"> </w:t>
      </w:r>
      <w:r w:rsidRPr="00235690">
        <w:rPr>
          <w:sz w:val="22"/>
          <w:szCs w:val="22"/>
          <w:vertAlign w:val="superscript"/>
          <w:lang w:val="en-US"/>
        </w:rPr>
        <w:t>c</w:t>
      </w:r>
      <w:r w:rsidRPr="00235690">
        <w:rPr>
          <w:sz w:val="22"/>
          <w:szCs w:val="22"/>
          <w:lang w:val="en-US"/>
        </w:rPr>
        <w:t xml:space="preserve"> Professor of Comparative Welfare State Research, Department of Political Science and Public Management, University of Southern Denmark, </w:t>
      </w:r>
      <w:proofErr w:type="spellStart"/>
      <w:r w:rsidRPr="00235690">
        <w:rPr>
          <w:sz w:val="22"/>
          <w:szCs w:val="22"/>
          <w:lang w:val="en-US"/>
        </w:rPr>
        <w:t>Campusvej</w:t>
      </w:r>
      <w:proofErr w:type="spellEnd"/>
      <w:r w:rsidRPr="00235690">
        <w:rPr>
          <w:sz w:val="22"/>
          <w:szCs w:val="22"/>
          <w:lang w:val="en-US"/>
        </w:rPr>
        <w:t xml:space="preserve"> 55, 5230 Odense M, Denmark; e: </w:t>
      </w:r>
      <w:hyperlink r:id="rId11" w:history="1">
        <w:r w:rsidRPr="00235690">
          <w:rPr>
            <w:rStyle w:val="Hyperlink"/>
            <w:sz w:val="22"/>
            <w:szCs w:val="22"/>
            <w:lang w:val="en-US"/>
          </w:rPr>
          <w:t>vanhuysse@sam.sdu.dk</w:t>
        </w:r>
      </w:hyperlink>
    </w:p>
    <w:p w14:paraId="46F66DAE" w14:textId="77777777" w:rsidR="00B224EF" w:rsidRPr="00235690" w:rsidRDefault="00B224EF" w:rsidP="00B224EF">
      <w:pPr>
        <w:pStyle w:val="m-3658730856976712719gmail-msolistparagraph"/>
        <w:shd w:val="clear" w:color="auto" w:fill="FFFFFF"/>
        <w:rPr>
          <w:color w:val="222222"/>
          <w:sz w:val="22"/>
          <w:szCs w:val="22"/>
          <w:lang w:val="en-US"/>
        </w:rPr>
      </w:pPr>
      <w:r w:rsidRPr="00235690">
        <w:rPr>
          <w:sz w:val="22"/>
          <w:szCs w:val="22"/>
          <w:vertAlign w:val="superscript"/>
          <w:lang w:val="en-US"/>
        </w:rPr>
        <w:t>d</w:t>
      </w:r>
      <w:r w:rsidRPr="00235690">
        <w:rPr>
          <w:sz w:val="22"/>
          <w:szCs w:val="22"/>
          <w:lang w:val="en-US"/>
        </w:rPr>
        <w:t xml:space="preserve"> Doctoral researcher, Hungarian Demographic Research Institute and University of </w:t>
      </w:r>
      <w:proofErr w:type="spellStart"/>
      <w:r w:rsidRPr="00235690">
        <w:rPr>
          <w:sz w:val="22"/>
          <w:szCs w:val="22"/>
          <w:lang w:val="en-US"/>
        </w:rPr>
        <w:t>Pécs</w:t>
      </w:r>
      <w:proofErr w:type="spellEnd"/>
      <w:r w:rsidRPr="00235690">
        <w:rPr>
          <w:sz w:val="22"/>
          <w:szCs w:val="22"/>
          <w:lang w:val="en-US"/>
        </w:rPr>
        <w:t xml:space="preserve">, </w:t>
      </w:r>
      <w:r w:rsidRPr="00235690">
        <w:rPr>
          <w:color w:val="222222"/>
          <w:sz w:val="22"/>
          <w:szCs w:val="22"/>
          <w:lang w:val="en-GB"/>
        </w:rPr>
        <w:t xml:space="preserve">Doctoral School of Demography and Sociology, </w:t>
      </w:r>
      <w:proofErr w:type="spellStart"/>
      <w:r w:rsidRPr="00235690">
        <w:rPr>
          <w:color w:val="222222"/>
          <w:sz w:val="22"/>
          <w:szCs w:val="22"/>
          <w:lang w:val="en-GB"/>
        </w:rPr>
        <w:t>Zsolnay</w:t>
      </w:r>
      <w:proofErr w:type="spellEnd"/>
      <w:r w:rsidRPr="00235690">
        <w:rPr>
          <w:color w:val="222222"/>
          <w:sz w:val="22"/>
          <w:szCs w:val="22"/>
          <w:lang w:val="en-GB"/>
        </w:rPr>
        <w:t xml:space="preserve"> </w:t>
      </w:r>
      <w:proofErr w:type="spellStart"/>
      <w:r w:rsidRPr="00235690">
        <w:rPr>
          <w:color w:val="222222"/>
          <w:sz w:val="22"/>
          <w:szCs w:val="22"/>
          <w:lang w:val="en-GB"/>
        </w:rPr>
        <w:t>Vilmos</w:t>
      </w:r>
      <w:proofErr w:type="spellEnd"/>
      <w:r w:rsidRPr="00235690">
        <w:rPr>
          <w:color w:val="222222"/>
          <w:sz w:val="22"/>
          <w:szCs w:val="22"/>
          <w:lang w:val="en-GB"/>
        </w:rPr>
        <w:t xml:space="preserve"> </w:t>
      </w:r>
      <w:proofErr w:type="spellStart"/>
      <w:r w:rsidRPr="00235690">
        <w:rPr>
          <w:color w:val="222222"/>
          <w:sz w:val="22"/>
          <w:szCs w:val="22"/>
          <w:lang w:val="en-GB"/>
        </w:rPr>
        <w:t>utca</w:t>
      </w:r>
      <w:proofErr w:type="spellEnd"/>
      <w:r w:rsidRPr="00235690">
        <w:rPr>
          <w:color w:val="222222"/>
          <w:sz w:val="22"/>
          <w:szCs w:val="22"/>
          <w:lang w:val="en-GB"/>
        </w:rPr>
        <w:t xml:space="preserve"> 16. E 25, 7622 </w:t>
      </w:r>
      <w:proofErr w:type="spellStart"/>
      <w:r w:rsidRPr="00235690">
        <w:rPr>
          <w:color w:val="222222"/>
          <w:sz w:val="22"/>
          <w:szCs w:val="22"/>
          <w:lang w:val="en-GB"/>
        </w:rPr>
        <w:t>Pécs</w:t>
      </w:r>
      <w:proofErr w:type="spellEnd"/>
      <w:r w:rsidRPr="00235690">
        <w:rPr>
          <w:color w:val="222222"/>
          <w:sz w:val="22"/>
          <w:szCs w:val="22"/>
          <w:lang w:val="en-GB"/>
        </w:rPr>
        <w:t xml:space="preserve">, Hungary; e: </w:t>
      </w:r>
      <w:hyperlink r:id="rId12" w:tgtFrame="_blank" w:history="1">
        <w:r w:rsidRPr="00235690">
          <w:rPr>
            <w:rStyle w:val="Hyperlink"/>
            <w:color w:val="1155CC"/>
            <w:sz w:val="22"/>
            <w:szCs w:val="22"/>
            <w:lang w:val="en-GB"/>
          </w:rPr>
          <w:t>vargha@demografia.hu</w:t>
        </w:r>
      </w:hyperlink>
    </w:p>
    <w:p w14:paraId="76DA8FB7" w14:textId="77777777" w:rsidR="00B224EF" w:rsidRPr="004455DB" w:rsidRDefault="00B224EF" w:rsidP="00B224EF">
      <w:pPr>
        <w:shd w:val="clear" w:color="auto" w:fill="FFFFFF"/>
        <w:jc w:val="left"/>
        <w:rPr>
          <w:color w:val="222222"/>
        </w:rPr>
      </w:pPr>
      <w:r w:rsidRPr="004455DB">
        <w:rPr>
          <w:color w:val="222222"/>
        </w:rPr>
        <w:t> </w:t>
      </w:r>
    </w:p>
    <w:p w14:paraId="64F13F20" w14:textId="3DBBC276" w:rsidR="00235690" w:rsidRPr="00235690" w:rsidRDefault="00235690" w:rsidP="00235690">
      <w:pPr>
        <w:spacing w:line="264" w:lineRule="auto"/>
        <w:ind w:firstLine="0"/>
        <w:rPr>
          <w:bCs/>
          <w:color w:val="222222"/>
          <w:sz w:val="22"/>
          <w:szCs w:val="22"/>
          <w:shd w:val="clear" w:color="auto" w:fill="FFFFFF"/>
        </w:rPr>
      </w:pPr>
      <w:r w:rsidRPr="00235690">
        <w:rPr>
          <w:b/>
          <w:sz w:val="22"/>
          <w:szCs w:val="22"/>
        </w:rPr>
        <w:t>Abstract</w:t>
      </w:r>
      <w:r w:rsidRPr="00235690">
        <w:rPr>
          <w:sz w:val="22"/>
          <w:szCs w:val="22"/>
        </w:rPr>
        <w:t>: Households and policies are the main vehicles of intergenerational transfers. Working-age people are net contributors; children and older persons net beneficiaries. However, there is an asymmetry in</w:t>
      </w:r>
      <w:r w:rsidRPr="00235690">
        <w:rPr>
          <w:rFonts w:eastAsia="Times New Roman"/>
          <w:sz w:val="22"/>
          <w:szCs w:val="22"/>
        </w:rPr>
        <w:t xml:space="preserve"> socialization. Working-age people pay taxes and social security contributions to institutionalize care for older persons as a generation, but invest private resources to raise their own children, often with large social returns. This results in</w:t>
      </w:r>
      <w:r w:rsidRPr="00235690">
        <w:rPr>
          <w:sz w:val="22"/>
          <w:szCs w:val="22"/>
        </w:rPr>
        <w:t xml:space="preserve"> asymmetric statistical visibility. Elderly transfers are near-fully observed in National Accounts; those to children much less. Analysing ten European societies, we employ National Transfer Accounts to include public and </w:t>
      </w:r>
      <w:r w:rsidRPr="00235690">
        <w:rPr>
          <w:i/>
          <w:sz w:val="22"/>
          <w:szCs w:val="22"/>
        </w:rPr>
        <w:t xml:space="preserve">private </w:t>
      </w:r>
      <w:r w:rsidRPr="00235690">
        <w:rPr>
          <w:sz w:val="22"/>
          <w:szCs w:val="22"/>
        </w:rPr>
        <w:t xml:space="preserve">transfers and National Time Transfer Accounts to value </w:t>
      </w:r>
      <w:r w:rsidRPr="00235690">
        <w:rPr>
          <w:i/>
          <w:sz w:val="22"/>
          <w:szCs w:val="22"/>
        </w:rPr>
        <w:t>unpaid household labour</w:t>
      </w:r>
      <w:r w:rsidRPr="00235690">
        <w:rPr>
          <w:rFonts w:eastAsia="Times New Roman"/>
          <w:sz w:val="22"/>
          <w:szCs w:val="22"/>
        </w:rPr>
        <w:t>. All three channels combined, children receive more per capita resources (</w:t>
      </w:r>
      <w:r w:rsidRPr="00235690">
        <w:rPr>
          <w:sz w:val="22"/>
          <w:szCs w:val="22"/>
        </w:rPr>
        <w:t>73 percent of prime-age labour income) than older persons (31 percent). Europe is a continent of pro-elderly welfare states</w:t>
      </w:r>
      <w:r w:rsidRPr="00235690">
        <w:rPr>
          <w:bCs/>
          <w:color w:val="222222"/>
          <w:sz w:val="22"/>
          <w:szCs w:val="22"/>
          <w:shd w:val="clear" w:color="auto" w:fill="FFFFFF"/>
        </w:rPr>
        <w:t xml:space="preserve"> and strongly child-oriented parents. Since children are public goods, why has investment in them not been socialized </w:t>
      </w:r>
      <w:r w:rsidRPr="00235690">
        <w:rPr>
          <w:bCs/>
          <w:i/>
          <w:color w:val="222222"/>
          <w:sz w:val="22"/>
          <w:szCs w:val="22"/>
          <w:shd w:val="clear" w:color="auto" w:fill="FFFFFF"/>
        </w:rPr>
        <w:t>more</w:t>
      </w:r>
      <w:r w:rsidRPr="00235690">
        <w:rPr>
          <w:bCs/>
          <w:color w:val="222222"/>
          <w:sz w:val="22"/>
          <w:szCs w:val="22"/>
          <w:shd w:val="clear" w:color="auto" w:fill="FFFFFF"/>
        </w:rPr>
        <w:t xml:space="preserve">? </w:t>
      </w:r>
    </w:p>
    <w:p w14:paraId="4AE9D5B5" w14:textId="77777777" w:rsidR="00235690" w:rsidRDefault="00235690" w:rsidP="00235690">
      <w:pPr>
        <w:spacing w:line="264" w:lineRule="auto"/>
        <w:ind w:firstLine="0"/>
        <w:rPr>
          <w:b/>
          <w:sz w:val="22"/>
          <w:szCs w:val="22"/>
        </w:rPr>
      </w:pPr>
    </w:p>
    <w:p w14:paraId="6D324C0E" w14:textId="77777777" w:rsidR="00235690" w:rsidRPr="00235690" w:rsidRDefault="00235690" w:rsidP="00235690">
      <w:pPr>
        <w:spacing w:line="264" w:lineRule="auto"/>
        <w:ind w:firstLine="0"/>
        <w:rPr>
          <w:sz w:val="22"/>
          <w:szCs w:val="22"/>
        </w:rPr>
      </w:pPr>
      <w:r w:rsidRPr="00235690">
        <w:rPr>
          <w:b/>
          <w:sz w:val="22"/>
          <w:szCs w:val="22"/>
        </w:rPr>
        <w:t>Key words</w:t>
      </w:r>
      <w:r w:rsidRPr="00235690">
        <w:rPr>
          <w:sz w:val="22"/>
          <w:szCs w:val="22"/>
        </w:rPr>
        <w:t xml:space="preserve">: household economy; human capital; intergenerational policies; parental investment; National Transfer Accounts; National Time Transfer Accounts </w:t>
      </w:r>
    </w:p>
    <w:p w14:paraId="3ADCFD2F" w14:textId="77777777" w:rsidR="00235690" w:rsidRDefault="00235690" w:rsidP="00C576AA">
      <w:pPr>
        <w:pStyle w:val="Heading2"/>
        <w:spacing w:line="480" w:lineRule="auto"/>
        <w:jc w:val="left"/>
        <w:rPr>
          <w:rStyle w:val="Heading2Char"/>
          <w:b/>
          <w:bCs/>
        </w:rPr>
      </w:pPr>
      <w:bookmarkStart w:id="6" w:name="_Toc470785819"/>
      <w:bookmarkStart w:id="7" w:name="_Toc470788392"/>
      <w:bookmarkStart w:id="8" w:name="_Toc470961218"/>
      <w:bookmarkStart w:id="9" w:name="_Toc473385527"/>
      <w:bookmarkStart w:id="10" w:name="_Toc455585805"/>
      <w:bookmarkEnd w:id="0"/>
      <w:bookmarkEnd w:id="1"/>
      <w:bookmarkEnd w:id="2"/>
      <w:bookmarkEnd w:id="3"/>
      <w:bookmarkEnd w:id="4"/>
    </w:p>
    <w:p w14:paraId="3E0B4D80" w14:textId="2CD96F1D" w:rsidR="00D27AC8" w:rsidRPr="00235690" w:rsidRDefault="0074130C" w:rsidP="00235690">
      <w:pPr>
        <w:pStyle w:val="Heading2"/>
        <w:spacing w:line="360" w:lineRule="auto"/>
        <w:jc w:val="left"/>
        <w:rPr>
          <w:rStyle w:val="Heading2Char"/>
          <w:b/>
          <w:bCs/>
        </w:rPr>
      </w:pPr>
      <w:r w:rsidRPr="00235690">
        <w:rPr>
          <w:rStyle w:val="Heading2Char"/>
          <w:b/>
          <w:bCs/>
        </w:rPr>
        <w:t>Introduction</w:t>
      </w:r>
      <w:bookmarkEnd w:id="6"/>
      <w:bookmarkEnd w:id="7"/>
      <w:bookmarkEnd w:id="8"/>
      <w:r w:rsidRPr="00235690">
        <w:rPr>
          <w:rStyle w:val="Heading2Char"/>
          <w:b/>
          <w:bCs/>
        </w:rPr>
        <w:t xml:space="preserve">: Shining a wider light on the ‘social’ in </w:t>
      </w:r>
      <w:r w:rsidR="00812990" w:rsidRPr="00235690">
        <w:rPr>
          <w:rStyle w:val="Heading2Char"/>
          <w:b/>
          <w:bCs/>
        </w:rPr>
        <w:t>investment</w:t>
      </w:r>
      <w:bookmarkEnd w:id="9"/>
    </w:p>
    <w:bookmarkEnd w:id="10"/>
    <w:p w14:paraId="1A072FEE" w14:textId="3AA59A1B" w:rsidR="00AE7F6F" w:rsidRDefault="004452FD" w:rsidP="00AE7F6F">
      <w:pPr>
        <w:spacing w:line="360" w:lineRule="auto"/>
        <w:ind w:firstLine="0"/>
      </w:pPr>
      <w:r w:rsidRPr="00235690">
        <w:t xml:space="preserve">The </w:t>
      </w:r>
      <w:r w:rsidR="00480865">
        <w:t xml:space="preserve">literature on </w:t>
      </w:r>
      <w:r w:rsidR="00913267" w:rsidRPr="00235690">
        <w:t>‘social investment</w:t>
      </w:r>
      <w:r w:rsidR="00AE7F6F">
        <w:t xml:space="preserve"> states</w:t>
      </w:r>
      <w:r w:rsidR="00383ADA" w:rsidRPr="00235690">
        <w:t xml:space="preserve">’ nearly exclusively </w:t>
      </w:r>
      <w:r w:rsidR="00AE7F6F">
        <w:t xml:space="preserve">discusses </w:t>
      </w:r>
      <w:proofErr w:type="spellStart"/>
      <w:r w:rsidR="00AE7F6F">
        <w:t>p</w:t>
      </w:r>
      <w:r w:rsidR="00383ADA" w:rsidRPr="00235690">
        <w:t>roductivist</w:t>
      </w:r>
      <w:proofErr w:type="spellEnd"/>
      <w:r w:rsidR="00383ADA" w:rsidRPr="00235690">
        <w:t xml:space="preserve"> </w:t>
      </w:r>
      <w:r w:rsidR="00383ADA" w:rsidRPr="00235690">
        <w:rPr>
          <w:i/>
        </w:rPr>
        <w:t>public policies</w:t>
      </w:r>
      <w:r w:rsidR="00913267" w:rsidRPr="00235690">
        <w:t xml:space="preserve"> (</w:t>
      </w:r>
      <w:r w:rsidR="00480865">
        <w:t>e.g.</w:t>
      </w:r>
      <w:r w:rsidR="007B47BA" w:rsidRPr="00235690">
        <w:t xml:space="preserve"> </w:t>
      </w:r>
      <w:proofErr w:type="spellStart"/>
      <w:r w:rsidR="00383ADA" w:rsidRPr="00235690">
        <w:t>Esping</w:t>
      </w:r>
      <w:proofErr w:type="spellEnd"/>
      <w:r w:rsidR="00383ADA" w:rsidRPr="00235690">
        <w:t xml:space="preserve">-Andersen 2002; Morel </w:t>
      </w:r>
      <w:r w:rsidR="00383ADA" w:rsidRPr="00235690">
        <w:rPr>
          <w:i/>
        </w:rPr>
        <w:t>et al</w:t>
      </w:r>
      <w:r w:rsidR="00383ADA" w:rsidRPr="00235690">
        <w:t xml:space="preserve">. 2012). Conceptually, however, social investment refers to </w:t>
      </w:r>
      <w:r w:rsidR="00545EA2" w:rsidRPr="00235690">
        <w:t xml:space="preserve">the </w:t>
      </w:r>
      <w:r w:rsidR="00383ADA" w:rsidRPr="00235690">
        <w:t>allocation</w:t>
      </w:r>
      <w:r w:rsidR="00812990" w:rsidRPr="00235690">
        <w:t>,</w:t>
      </w:r>
      <w:r w:rsidR="00383ADA" w:rsidRPr="00235690">
        <w:t xml:space="preserve"> with the expectation of positive returns</w:t>
      </w:r>
      <w:r w:rsidR="00812990" w:rsidRPr="00235690">
        <w:t xml:space="preserve"> also</w:t>
      </w:r>
      <w:r w:rsidR="00DE0CA1" w:rsidRPr="00235690">
        <w:t xml:space="preserve"> to </w:t>
      </w:r>
      <w:r w:rsidR="00DE0CA1" w:rsidRPr="00235690">
        <w:rPr>
          <w:i/>
        </w:rPr>
        <w:t>society</w:t>
      </w:r>
      <w:r w:rsidR="00383ADA" w:rsidRPr="00235690">
        <w:t xml:space="preserve">, of scarce resources to the productive skills and human capital of </w:t>
      </w:r>
      <w:r w:rsidR="004A2B94" w:rsidRPr="00235690">
        <w:t>(</w:t>
      </w:r>
      <w:r w:rsidR="00383ADA" w:rsidRPr="00235690">
        <w:t>future</w:t>
      </w:r>
      <w:r w:rsidR="004A2B94" w:rsidRPr="00235690">
        <w:t>)</w:t>
      </w:r>
      <w:r w:rsidR="00383ADA" w:rsidRPr="00235690">
        <w:t xml:space="preserve"> workers.</w:t>
      </w:r>
      <w:r w:rsidR="00913267" w:rsidRPr="00235690">
        <w:t xml:space="preserve"> </w:t>
      </w:r>
      <w:r w:rsidR="007B47BA" w:rsidRPr="00235690">
        <w:t xml:space="preserve">This is a productive </w:t>
      </w:r>
      <w:r w:rsidR="00913267" w:rsidRPr="00235690">
        <w:t>form of downward intergenerational transfer.</w:t>
      </w:r>
      <w:r w:rsidR="0064353B" w:rsidRPr="00235690">
        <w:rPr>
          <w:rStyle w:val="EndnoteReference"/>
        </w:rPr>
        <w:endnoteReference w:id="1"/>
      </w:r>
      <w:r w:rsidR="00913267" w:rsidRPr="00235690">
        <w:t xml:space="preserve"> </w:t>
      </w:r>
      <w:r w:rsidR="004A2B94" w:rsidRPr="00235690">
        <w:t>The</w:t>
      </w:r>
      <w:r w:rsidR="0012717F" w:rsidRPr="00235690">
        <w:t xml:space="preserve"> literature on intergenerational transfers </w:t>
      </w:r>
      <w:r w:rsidR="004A2B94" w:rsidRPr="00235690">
        <w:t xml:space="preserve">actually exhibits </w:t>
      </w:r>
      <w:r w:rsidR="0012717F" w:rsidRPr="00235690">
        <w:t>th</w:t>
      </w:r>
      <w:r w:rsidR="004A2B94" w:rsidRPr="00235690">
        <w:t xml:space="preserve">e same </w:t>
      </w:r>
      <w:r w:rsidR="0012717F" w:rsidRPr="00235690">
        <w:t>strong policy</w:t>
      </w:r>
      <w:r w:rsidR="00BA73D4" w:rsidRPr="00235690">
        <w:t xml:space="preserve"> </w:t>
      </w:r>
      <w:r w:rsidR="0012717F" w:rsidRPr="00235690">
        <w:t>emphasis.</w:t>
      </w:r>
      <w:r w:rsidR="00D63107" w:rsidRPr="00235690">
        <w:rPr>
          <w:rStyle w:val="EndnoteReference"/>
        </w:rPr>
        <w:endnoteReference w:id="2"/>
      </w:r>
      <w:r w:rsidR="0064353B" w:rsidRPr="00235690">
        <w:rPr>
          <w:rStyle w:val="EndnoteReference"/>
        </w:rPr>
        <w:t xml:space="preserve"> </w:t>
      </w:r>
      <w:r w:rsidR="0012717F" w:rsidRPr="00235690">
        <w:t xml:space="preserve">It </w:t>
      </w:r>
      <w:r w:rsidR="00B83F71" w:rsidRPr="00235690">
        <w:t>put</w:t>
      </w:r>
      <w:r w:rsidR="0012717F" w:rsidRPr="00235690">
        <w:t>s</w:t>
      </w:r>
      <w:r w:rsidR="00B83F71" w:rsidRPr="00235690">
        <w:t xml:space="preserve"> forward three</w:t>
      </w:r>
      <w:r w:rsidR="0012717F" w:rsidRPr="00235690">
        <w:t xml:space="preserve"> main</w:t>
      </w:r>
      <w:r w:rsidR="00B83F71" w:rsidRPr="00235690">
        <w:t xml:space="preserve"> propositions</w:t>
      </w:r>
      <w:r w:rsidR="00DF4773" w:rsidRPr="00235690">
        <w:t>:</w:t>
      </w:r>
      <w:r w:rsidR="00B15D2E" w:rsidRPr="00235690">
        <w:t xml:space="preserve"> (1)</w:t>
      </w:r>
      <w:r w:rsidR="00F311BE" w:rsidRPr="00235690">
        <w:t xml:space="preserve"> </w:t>
      </w:r>
      <w:r w:rsidR="009033CF" w:rsidRPr="00235690">
        <w:t xml:space="preserve">currently </w:t>
      </w:r>
      <w:r w:rsidR="00F311BE" w:rsidRPr="00235690">
        <w:t>older persons</w:t>
      </w:r>
      <w:r w:rsidR="00B16D9F" w:rsidRPr="00235690">
        <w:t xml:space="preserve"> receive more</w:t>
      </w:r>
      <w:r w:rsidR="00726E55" w:rsidRPr="00235690">
        <w:t xml:space="preserve"> </w:t>
      </w:r>
      <w:r w:rsidR="00E7371C" w:rsidRPr="00235690">
        <w:t xml:space="preserve">overall </w:t>
      </w:r>
      <w:r w:rsidR="00726E55" w:rsidRPr="00235690">
        <w:t>public</w:t>
      </w:r>
      <w:r w:rsidR="00B16D9F" w:rsidRPr="00235690">
        <w:t xml:space="preserve"> transfers than </w:t>
      </w:r>
      <w:r w:rsidR="00E7371C" w:rsidRPr="00235690">
        <w:t xml:space="preserve">in </w:t>
      </w:r>
      <w:r w:rsidR="00B16D9F" w:rsidRPr="00235690">
        <w:t>past</w:t>
      </w:r>
      <w:r w:rsidR="004F192E" w:rsidRPr="00235690">
        <w:t xml:space="preserve"> </w:t>
      </w:r>
      <w:r w:rsidR="00E7371C" w:rsidRPr="00235690">
        <w:t xml:space="preserve">decades </w:t>
      </w:r>
      <w:r w:rsidR="004F192E" w:rsidRPr="00235690">
        <w:t>(Kotlikoff</w:t>
      </w:r>
      <w:r w:rsidR="00E97ECE" w:rsidRPr="00235690">
        <w:t xml:space="preserve"> and Burns 20</w:t>
      </w:r>
      <w:r w:rsidR="00BA3ADE" w:rsidRPr="00235690">
        <w:t>12</w:t>
      </w:r>
      <w:r w:rsidR="004F192E" w:rsidRPr="00235690">
        <w:t>)</w:t>
      </w:r>
      <w:r w:rsidR="00B16D9F" w:rsidRPr="00235690">
        <w:t xml:space="preserve">; </w:t>
      </w:r>
      <w:r w:rsidR="00B15D2E" w:rsidRPr="00235690">
        <w:t xml:space="preserve">(2) </w:t>
      </w:r>
      <w:r w:rsidR="00F311BE" w:rsidRPr="00235690">
        <w:t>older persons</w:t>
      </w:r>
      <w:r w:rsidR="00B16D9F" w:rsidRPr="00235690">
        <w:t xml:space="preserve"> receive more than children</w:t>
      </w:r>
      <w:r w:rsidR="004F192E" w:rsidRPr="00235690">
        <w:t xml:space="preserve"> (Vanhuysse </w:t>
      </w:r>
      <w:r w:rsidR="004F192E" w:rsidRPr="00235690">
        <w:lastRenderedPageBreak/>
        <w:t>2013)</w:t>
      </w:r>
      <w:r w:rsidR="00B16D9F" w:rsidRPr="00235690">
        <w:t xml:space="preserve">; and </w:t>
      </w:r>
      <w:r w:rsidR="00B15D2E" w:rsidRPr="00235690">
        <w:t xml:space="preserve">(3) </w:t>
      </w:r>
      <w:r w:rsidR="00B16D9F" w:rsidRPr="00235690">
        <w:t xml:space="preserve">the elderly/children </w:t>
      </w:r>
      <w:r w:rsidR="00726E55" w:rsidRPr="00235690">
        <w:t xml:space="preserve">public </w:t>
      </w:r>
      <w:r w:rsidR="00B15D2E" w:rsidRPr="00235690">
        <w:t xml:space="preserve">transfer </w:t>
      </w:r>
      <w:r w:rsidR="00B16D9F" w:rsidRPr="00235690">
        <w:t>ratio has been increasing</w:t>
      </w:r>
      <w:r w:rsidR="004F192E" w:rsidRPr="00235690">
        <w:t xml:space="preserve"> (</w:t>
      </w:r>
      <w:r w:rsidR="00D40EBC" w:rsidRPr="00235690">
        <w:t>Preston 1984</w:t>
      </w:r>
      <w:r w:rsidR="004F192E" w:rsidRPr="00235690">
        <w:t>)</w:t>
      </w:r>
      <w:r w:rsidR="00B16D9F" w:rsidRPr="00235690">
        <w:t>.</w:t>
      </w:r>
      <w:r w:rsidR="00286D91" w:rsidRPr="00235690">
        <w:t xml:space="preserve"> The tendency is alternatively referred to as ‘grey power’, ‘gerontocracy’ (Sinn and </w:t>
      </w:r>
      <w:proofErr w:type="spellStart"/>
      <w:r w:rsidR="00286D91" w:rsidRPr="00235690">
        <w:t>Uebelmesser</w:t>
      </w:r>
      <w:proofErr w:type="spellEnd"/>
      <w:r w:rsidR="00286D91" w:rsidRPr="00235690">
        <w:t xml:space="preserve"> 2002), or ‘pro-elderly </w:t>
      </w:r>
      <w:proofErr w:type="spellStart"/>
      <w:r w:rsidR="00286D91" w:rsidRPr="00235690">
        <w:t>bias’</w:t>
      </w:r>
      <w:proofErr w:type="spellEnd"/>
      <w:r w:rsidR="00286D91" w:rsidRPr="00235690">
        <w:t xml:space="preserve"> (</w:t>
      </w:r>
      <w:proofErr w:type="spellStart"/>
      <w:r w:rsidR="00E7371C" w:rsidRPr="00235690">
        <w:t>Tepe</w:t>
      </w:r>
      <w:proofErr w:type="spellEnd"/>
      <w:r w:rsidR="00E7371C" w:rsidRPr="00235690">
        <w:t xml:space="preserve"> and </w:t>
      </w:r>
      <w:proofErr w:type="spellStart"/>
      <w:r w:rsidR="00E7371C" w:rsidRPr="00235690">
        <w:t>V</w:t>
      </w:r>
      <w:r w:rsidR="00286D91" w:rsidRPr="00235690">
        <w:t>anhuysse</w:t>
      </w:r>
      <w:proofErr w:type="spellEnd"/>
      <w:r w:rsidR="00286D91" w:rsidRPr="00235690">
        <w:t xml:space="preserve"> 201</w:t>
      </w:r>
      <w:r w:rsidR="00E7371C" w:rsidRPr="00235690">
        <w:t>0</w:t>
      </w:r>
      <w:r w:rsidR="00AE7F6F">
        <w:t>; Vanhuysse 2014</w:t>
      </w:r>
      <w:r w:rsidR="00286D91" w:rsidRPr="00235690">
        <w:t xml:space="preserve">). Some even speak of ‘generational </w:t>
      </w:r>
      <w:r w:rsidR="0035516E" w:rsidRPr="00235690">
        <w:t>‘</w:t>
      </w:r>
      <w:r w:rsidR="00286D91" w:rsidRPr="00235690">
        <w:t>storm</w:t>
      </w:r>
      <w:r w:rsidR="0035516E" w:rsidRPr="00235690">
        <w:t>s</w:t>
      </w:r>
      <w:r w:rsidR="00286D91" w:rsidRPr="00235690">
        <w:t>’ or ‘clash</w:t>
      </w:r>
      <w:r w:rsidR="0035516E" w:rsidRPr="00235690">
        <w:t xml:space="preserve">es’ </w:t>
      </w:r>
      <w:r w:rsidR="00F41ADE" w:rsidRPr="00235690">
        <w:t xml:space="preserve">(Kotlikoff and Burns </w:t>
      </w:r>
      <w:r w:rsidR="00286D91" w:rsidRPr="00235690">
        <w:t>2012).</w:t>
      </w:r>
      <w:r w:rsidR="00AE7F6F">
        <w:t xml:space="preserve"> </w:t>
      </w:r>
      <w:r w:rsidR="007415A5" w:rsidRPr="00235690">
        <w:t xml:space="preserve">This article </w:t>
      </w:r>
      <w:r w:rsidR="00286D91" w:rsidRPr="00235690">
        <w:t>argue</w:t>
      </w:r>
      <w:r w:rsidR="007415A5" w:rsidRPr="00235690">
        <w:t>s</w:t>
      </w:r>
      <w:r w:rsidR="00286D91" w:rsidRPr="00235690">
        <w:t xml:space="preserve"> that th</w:t>
      </w:r>
      <w:r w:rsidRPr="00235690">
        <w:t>ese portrayals</w:t>
      </w:r>
      <w:r w:rsidR="00286D91" w:rsidRPr="00235690">
        <w:t xml:space="preserve"> of </w:t>
      </w:r>
      <w:r w:rsidR="0012717F" w:rsidRPr="00235690">
        <w:t xml:space="preserve">the intergenerational transfers </w:t>
      </w:r>
      <w:r w:rsidRPr="00235690">
        <w:t xml:space="preserve">that occur </w:t>
      </w:r>
      <w:r w:rsidR="0012717F" w:rsidRPr="00235690">
        <w:t xml:space="preserve">in contemporary societies </w:t>
      </w:r>
      <w:r w:rsidR="0064353B" w:rsidRPr="00235690">
        <w:t>are</w:t>
      </w:r>
      <w:r w:rsidR="00A234D0" w:rsidRPr="00235690">
        <w:t xml:space="preserve"> misleading, s</w:t>
      </w:r>
      <w:r w:rsidR="00286D91" w:rsidRPr="00235690">
        <w:t xml:space="preserve">ince </w:t>
      </w:r>
      <w:r w:rsidR="0064353B" w:rsidRPr="00235690">
        <w:t>they are</w:t>
      </w:r>
      <w:r w:rsidR="00286D91" w:rsidRPr="00235690">
        <w:t xml:space="preserve"> limited to the statistically visible world of public transfers</w:t>
      </w:r>
      <w:r w:rsidR="00D27AC8" w:rsidRPr="00235690">
        <w:t xml:space="preserve"> and</w:t>
      </w:r>
      <w:r w:rsidR="00286D91" w:rsidRPr="00235690">
        <w:t xml:space="preserve"> largely ignore intra-familial transfers </w:t>
      </w:r>
      <w:r w:rsidR="00D27AC8" w:rsidRPr="00235690">
        <w:t>(</w:t>
      </w:r>
      <w:r w:rsidR="00D27AC8" w:rsidRPr="00235690">
        <w:rPr>
          <w:i/>
        </w:rPr>
        <w:t>cash</w:t>
      </w:r>
      <w:r w:rsidR="00D27AC8" w:rsidRPr="00235690">
        <w:t xml:space="preserve">) </w:t>
      </w:r>
      <w:r w:rsidR="00286D91" w:rsidRPr="00235690">
        <w:t>and the household economy</w:t>
      </w:r>
      <w:r w:rsidR="00D27AC8" w:rsidRPr="00235690">
        <w:t xml:space="preserve"> (</w:t>
      </w:r>
      <w:r w:rsidR="00D27AC8" w:rsidRPr="00235690">
        <w:rPr>
          <w:i/>
        </w:rPr>
        <w:t>time</w:t>
      </w:r>
      <w:r w:rsidR="00D27AC8" w:rsidRPr="00235690">
        <w:t>)</w:t>
      </w:r>
      <w:r w:rsidR="00286D91" w:rsidRPr="00235690">
        <w:t>.</w:t>
      </w:r>
      <w:r w:rsidRPr="00235690">
        <w:t xml:space="preserve"> Households and public policies both serve as vehicles of intergenerational transfers</w:t>
      </w:r>
      <w:r w:rsidR="00CB01F4" w:rsidRPr="00235690">
        <w:t xml:space="preserve"> (</w:t>
      </w:r>
      <w:r w:rsidR="00CB01F4" w:rsidRPr="00235690">
        <w:rPr>
          <w:lang w:val="en-US"/>
        </w:rPr>
        <w:t xml:space="preserve">Albertini and </w:t>
      </w:r>
      <w:proofErr w:type="spellStart"/>
      <w:r w:rsidR="00CB01F4" w:rsidRPr="00235690">
        <w:rPr>
          <w:lang w:val="en-US"/>
        </w:rPr>
        <w:t>Kohli</w:t>
      </w:r>
      <w:proofErr w:type="spellEnd"/>
      <w:r w:rsidR="00CB01F4" w:rsidRPr="00235690">
        <w:rPr>
          <w:lang w:val="en-US"/>
        </w:rPr>
        <w:t xml:space="preserve"> 2013; Albertini </w:t>
      </w:r>
      <w:r w:rsidR="00CB01F4" w:rsidRPr="00235690">
        <w:rPr>
          <w:i/>
          <w:lang w:val="en-US"/>
        </w:rPr>
        <w:t>et al</w:t>
      </w:r>
      <w:r w:rsidR="00CB01F4" w:rsidRPr="00235690">
        <w:rPr>
          <w:lang w:val="en-US"/>
        </w:rPr>
        <w:t>. 2007)</w:t>
      </w:r>
      <w:r w:rsidRPr="00235690">
        <w:t xml:space="preserve">. </w:t>
      </w:r>
    </w:p>
    <w:p w14:paraId="5D7267AC" w14:textId="20C68911" w:rsidR="007415A5" w:rsidRDefault="004452FD" w:rsidP="00AE7F6F">
      <w:pPr>
        <w:spacing w:line="360" w:lineRule="auto"/>
        <w:rPr>
          <w:rStyle w:val="apple-converted-space"/>
          <w:color w:val="000000"/>
        </w:rPr>
      </w:pPr>
      <w:r w:rsidRPr="00235690">
        <w:t>For instance, a key social investment function of</w:t>
      </w:r>
      <w:r w:rsidR="007415A5" w:rsidRPr="00235690">
        <w:t xml:space="preserve"> the</w:t>
      </w:r>
      <w:r w:rsidRPr="00235690">
        <w:t xml:space="preserve"> </w:t>
      </w:r>
      <w:r w:rsidR="007415A5" w:rsidRPr="00235690">
        <w:t xml:space="preserve">cash and time </w:t>
      </w:r>
      <w:r w:rsidRPr="00235690">
        <w:t xml:space="preserve">parents transfer to their non-adult children is to boost children’s cognitive skills and </w:t>
      </w:r>
      <w:proofErr w:type="spellStart"/>
      <w:r w:rsidRPr="00235690">
        <w:t>noncognitive</w:t>
      </w:r>
      <w:proofErr w:type="spellEnd"/>
      <w:r w:rsidRPr="00235690">
        <w:t xml:space="preserve"> traits</w:t>
      </w:r>
      <w:r w:rsidR="008C32B6" w:rsidRPr="00235690">
        <w:t xml:space="preserve">. </w:t>
      </w:r>
      <w:r w:rsidR="00C72B5A" w:rsidRPr="00235690">
        <w:t>In addition to the private returns to the children involved, t</w:t>
      </w:r>
      <w:r w:rsidR="008C32B6" w:rsidRPr="00235690">
        <w:t>h</w:t>
      </w:r>
      <w:r w:rsidR="008E1551" w:rsidRPr="00235690">
        <w:t>ese private transfers have</w:t>
      </w:r>
      <w:r w:rsidR="008C32B6" w:rsidRPr="00235690">
        <w:t xml:space="preserve"> </w:t>
      </w:r>
      <w:r w:rsidRPr="00235690">
        <w:t>significant</w:t>
      </w:r>
      <w:r w:rsidR="00363CC4" w:rsidRPr="00235690">
        <w:t xml:space="preserve"> (</w:t>
      </w:r>
      <w:r w:rsidRPr="00235690">
        <w:t>and often large</w:t>
      </w:r>
      <w:r w:rsidR="00363CC4" w:rsidRPr="00235690">
        <w:t>)</w:t>
      </w:r>
      <w:r w:rsidRPr="00235690">
        <w:t xml:space="preserve"> </w:t>
      </w:r>
      <w:r w:rsidR="008D6BF5" w:rsidRPr="00235690">
        <w:rPr>
          <w:i/>
        </w:rPr>
        <w:t>social</w:t>
      </w:r>
      <w:r w:rsidR="00363CC4" w:rsidRPr="00235690">
        <w:rPr>
          <w:i/>
        </w:rPr>
        <w:t xml:space="preserve"> </w:t>
      </w:r>
      <w:r w:rsidR="00363CC4" w:rsidRPr="00235690">
        <w:t>retur</w:t>
      </w:r>
      <w:r w:rsidR="00C72B5A" w:rsidRPr="00235690">
        <w:t>ns later on</w:t>
      </w:r>
      <w:r w:rsidR="00D44FE8" w:rsidRPr="00235690">
        <w:t>.</w:t>
      </w:r>
      <w:r w:rsidR="00D44FE8" w:rsidRPr="00235690">
        <w:rPr>
          <w:rStyle w:val="EndnoteReference"/>
        </w:rPr>
        <w:endnoteReference w:id="3"/>
      </w:r>
      <w:r w:rsidR="00C72B5A" w:rsidRPr="00235690">
        <w:t xml:space="preserve"> </w:t>
      </w:r>
      <w:r w:rsidR="007415A5" w:rsidRPr="00235690">
        <w:t xml:space="preserve">As </w:t>
      </w:r>
      <w:proofErr w:type="spellStart"/>
      <w:r w:rsidR="007415A5" w:rsidRPr="00235690">
        <w:t>Folbre</w:t>
      </w:r>
      <w:proofErr w:type="spellEnd"/>
      <w:r w:rsidR="007415A5" w:rsidRPr="00235690">
        <w:t xml:space="preserve"> (1994) puts it, children are also significant </w:t>
      </w:r>
      <w:r w:rsidR="007415A5" w:rsidRPr="00235690">
        <w:rPr>
          <w:i/>
        </w:rPr>
        <w:t>public</w:t>
      </w:r>
      <w:r w:rsidR="007415A5" w:rsidRPr="00235690">
        <w:t xml:space="preserve"> goods, predominantly privately</w:t>
      </w:r>
      <w:r w:rsidR="00480865">
        <w:t xml:space="preserve"> </w:t>
      </w:r>
      <w:r w:rsidR="00480865" w:rsidRPr="00235690">
        <w:t>paid for</w:t>
      </w:r>
      <w:r w:rsidR="007415A5" w:rsidRPr="00235690">
        <w:t>. P</w:t>
      </w:r>
      <w:proofErr w:type="spellStart"/>
      <w:r w:rsidR="007415A5" w:rsidRPr="00235690">
        <w:rPr>
          <w:color w:val="111111"/>
          <w:lang w:val="en-US"/>
        </w:rPr>
        <w:t>arents</w:t>
      </w:r>
      <w:proofErr w:type="spellEnd"/>
      <w:r w:rsidR="007415A5" w:rsidRPr="00235690">
        <w:rPr>
          <w:color w:val="111111"/>
          <w:lang w:val="en-US"/>
        </w:rPr>
        <w:t xml:space="preserve"> bear the lion’s share of the cost of raising their own children - in cash and time, both directly and in terms of opportunities foregone</w:t>
      </w:r>
      <w:r w:rsidR="00AE7F6F">
        <w:rPr>
          <w:color w:val="111111"/>
          <w:lang w:val="en-US"/>
        </w:rPr>
        <w:t>. T</w:t>
      </w:r>
      <w:r w:rsidR="007E1ECD">
        <w:rPr>
          <w:color w:val="111111"/>
          <w:lang w:val="en-US"/>
        </w:rPr>
        <w:t>hese costs are in part socially created by legal obligations for continuity of adequate care (</w:t>
      </w:r>
      <w:proofErr w:type="spellStart"/>
      <w:r w:rsidR="007E1ECD">
        <w:rPr>
          <w:color w:val="111111"/>
          <w:lang w:val="en-US"/>
        </w:rPr>
        <w:t>Alstott</w:t>
      </w:r>
      <w:proofErr w:type="spellEnd"/>
      <w:r w:rsidR="007E1ECD">
        <w:rPr>
          <w:color w:val="111111"/>
          <w:lang w:val="en-US"/>
        </w:rPr>
        <w:t xml:space="preserve"> 2004)</w:t>
      </w:r>
      <w:r w:rsidR="007415A5" w:rsidRPr="00235690">
        <w:rPr>
          <w:color w:val="111111"/>
          <w:lang w:val="en-US"/>
        </w:rPr>
        <w:t>. Yet, to the extent that children</w:t>
      </w:r>
      <w:r w:rsidR="008E1551" w:rsidRPr="00235690">
        <w:rPr>
          <w:color w:val="111111"/>
          <w:lang w:val="en-US"/>
        </w:rPr>
        <w:t xml:space="preserve"> subsequently become productive</w:t>
      </w:r>
      <w:r w:rsidR="007415A5" w:rsidRPr="00235690">
        <w:rPr>
          <w:color w:val="111111"/>
          <w:lang w:val="en-US"/>
        </w:rPr>
        <w:t xml:space="preserve"> tax and social security paying adults, they create positive externalities that benefit all of society. They will finance, for instance, future infrastructure and debt repayment and public pension and health and long term care needs </w:t>
      </w:r>
      <w:r w:rsidR="007C0FDA" w:rsidRPr="00235690">
        <w:rPr>
          <w:color w:val="111111"/>
          <w:lang w:val="en-US"/>
        </w:rPr>
        <w:t xml:space="preserve">- </w:t>
      </w:r>
      <w:r w:rsidR="007415A5" w:rsidRPr="00235690">
        <w:rPr>
          <w:color w:val="111111"/>
          <w:lang w:val="en-US"/>
        </w:rPr>
        <w:t>all of which will also benefit non-parents.</w:t>
      </w:r>
      <w:r w:rsidR="007415A5" w:rsidRPr="00235690">
        <w:rPr>
          <w:rStyle w:val="apple-converted-space"/>
          <w:color w:val="000000"/>
        </w:rPr>
        <w:t> </w:t>
      </w:r>
      <w:r w:rsidR="007E1ECD">
        <w:rPr>
          <w:rStyle w:val="apple-converted-space"/>
          <w:color w:val="000000"/>
        </w:rPr>
        <w:t>In other words, not just is the cost of children in part socially created, the benefits but not the costs of children are deliberately socialized: society forcibly redirects some of these benefits to nonparents, thereby reducing the benefits available to parents (</w:t>
      </w:r>
      <w:proofErr w:type="spellStart"/>
      <w:r w:rsidR="007E1ECD">
        <w:rPr>
          <w:rStyle w:val="apple-converted-space"/>
          <w:color w:val="000000"/>
        </w:rPr>
        <w:t>Olsaretti</w:t>
      </w:r>
      <w:proofErr w:type="spellEnd"/>
      <w:r w:rsidR="007E1ECD">
        <w:rPr>
          <w:rStyle w:val="apple-converted-space"/>
          <w:color w:val="000000"/>
        </w:rPr>
        <w:t xml:space="preserve"> 2013).</w:t>
      </w:r>
    </w:p>
    <w:p w14:paraId="3FC8590C" w14:textId="6E6329CF" w:rsidR="00474454" w:rsidRPr="00235690" w:rsidRDefault="008E1551" w:rsidP="00235690">
      <w:pPr>
        <w:spacing w:line="360" w:lineRule="auto"/>
        <w:rPr>
          <w:rFonts w:ascii="Georgia" w:hAnsi="Georgia"/>
          <w:color w:val="000000"/>
          <w:sz w:val="21"/>
          <w:szCs w:val="21"/>
        </w:rPr>
      </w:pPr>
      <w:r w:rsidRPr="00235690">
        <w:t>We show that o</w:t>
      </w:r>
      <w:r w:rsidR="0005011A" w:rsidRPr="00235690">
        <w:t>n their own, public tra</w:t>
      </w:r>
      <w:r w:rsidR="00E7371C" w:rsidRPr="00235690">
        <w:t xml:space="preserve">nsfer </w:t>
      </w:r>
      <w:r w:rsidR="0005011A" w:rsidRPr="00235690">
        <w:t>da</w:t>
      </w:r>
      <w:r w:rsidR="00E7371C" w:rsidRPr="00235690">
        <w:t>ta</w:t>
      </w:r>
      <w:r w:rsidR="009662C5" w:rsidRPr="00235690">
        <w:t xml:space="preserve"> offer a</w:t>
      </w:r>
      <w:r w:rsidR="00E7371C" w:rsidRPr="00235690">
        <w:t>n</w:t>
      </w:r>
      <w:r w:rsidR="0005011A" w:rsidRPr="00235690">
        <w:t xml:space="preserve"> incomplete </w:t>
      </w:r>
      <w:r w:rsidR="00E7371C" w:rsidRPr="00235690">
        <w:t xml:space="preserve">and biased </w:t>
      </w:r>
      <w:r w:rsidR="0005011A" w:rsidRPr="00235690">
        <w:t>picture of intergenerational transfers</w:t>
      </w:r>
      <w:r w:rsidR="004452FD" w:rsidRPr="00235690">
        <w:t xml:space="preserve"> </w:t>
      </w:r>
      <w:r w:rsidR="00EF26CF" w:rsidRPr="00235690">
        <w:t xml:space="preserve">– a </w:t>
      </w:r>
      <w:r w:rsidR="0035516E" w:rsidRPr="00235690">
        <w:t xml:space="preserve">proverbial </w:t>
      </w:r>
      <w:r w:rsidR="00EF26CF" w:rsidRPr="00235690">
        <w:t>case of looking for a lost car key only where the streetlight shines at night</w:t>
      </w:r>
      <w:r w:rsidR="0005011A" w:rsidRPr="00235690">
        <w:t xml:space="preserve">. </w:t>
      </w:r>
      <w:r w:rsidR="007415A5" w:rsidRPr="00235690">
        <w:t>W</w:t>
      </w:r>
      <w:r w:rsidR="00D9030F" w:rsidRPr="00235690">
        <w:t xml:space="preserve">hen it comes to the younger </w:t>
      </w:r>
      <w:r w:rsidR="00977DFE" w:rsidRPr="00235690">
        <w:t xml:space="preserve">age groups </w:t>
      </w:r>
      <w:r w:rsidR="00D9030F" w:rsidRPr="00235690">
        <w:t xml:space="preserve">that are the focus of the social </w:t>
      </w:r>
      <w:r w:rsidR="00BD45F9" w:rsidRPr="00235690">
        <w:t xml:space="preserve">investment </w:t>
      </w:r>
      <w:r w:rsidR="00D9030F" w:rsidRPr="00235690">
        <w:t>literature,</w:t>
      </w:r>
      <w:r w:rsidR="0005011A" w:rsidRPr="00235690">
        <w:t xml:space="preserve"> the bulk of </w:t>
      </w:r>
      <w:r w:rsidR="00D9030F" w:rsidRPr="00235690">
        <w:t xml:space="preserve">the </w:t>
      </w:r>
      <w:r w:rsidR="0005011A" w:rsidRPr="00235690">
        <w:t>investment</w:t>
      </w:r>
      <w:r w:rsidR="00D9030F" w:rsidRPr="00235690">
        <w:t>s in society</w:t>
      </w:r>
      <w:r w:rsidR="0005011A" w:rsidRPr="00235690">
        <w:t xml:space="preserve"> </w:t>
      </w:r>
      <w:r w:rsidR="00086D44" w:rsidRPr="00235690">
        <w:t xml:space="preserve">are not by </w:t>
      </w:r>
      <w:r w:rsidR="0005011A" w:rsidRPr="00235690">
        <w:t>policies</w:t>
      </w:r>
      <w:r w:rsidR="00086D44" w:rsidRPr="00235690">
        <w:t>,</w:t>
      </w:r>
      <w:r w:rsidR="0005011A" w:rsidRPr="00235690">
        <w:t xml:space="preserve"> </w:t>
      </w:r>
      <w:r w:rsidR="00204126" w:rsidRPr="00235690">
        <w:t>but by households</w:t>
      </w:r>
      <w:r w:rsidR="0005011A" w:rsidRPr="00235690">
        <w:t>.</w:t>
      </w:r>
      <w:r w:rsidR="00286D91" w:rsidRPr="00235690">
        <w:t xml:space="preserve"> </w:t>
      </w:r>
      <w:r w:rsidR="0035516E" w:rsidRPr="00235690">
        <w:t xml:space="preserve">In other words, we </w:t>
      </w:r>
      <w:r w:rsidR="007B47BA" w:rsidRPr="00235690">
        <w:t xml:space="preserve">follow </w:t>
      </w:r>
      <w:r w:rsidR="00D1429E" w:rsidRPr="00235690">
        <w:t xml:space="preserve">the social investment </w:t>
      </w:r>
      <w:r w:rsidR="007415A5" w:rsidRPr="00235690">
        <w:t xml:space="preserve">and human capital </w:t>
      </w:r>
      <w:r w:rsidR="00D1429E" w:rsidRPr="00235690">
        <w:t>literature</w:t>
      </w:r>
      <w:r w:rsidR="007415A5" w:rsidRPr="00235690">
        <w:t xml:space="preserve">s </w:t>
      </w:r>
      <w:r w:rsidR="007B47BA" w:rsidRPr="00235690">
        <w:t>in viewing</w:t>
      </w:r>
      <w:r w:rsidR="00D1429E" w:rsidRPr="00235690">
        <w:t xml:space="preserve"> </w:t>
      </w:r>
      <w:r w:rsidR="0035516E" w:rsidRPr="00235690">
        <w:t xml:space="preserve">many </w:t>
      </w:r>
      <w:r w:rsidR="00D1429E" w:rsidRPr="00235690">
        <w:t>resource transfers to young</w:t>
      </w:r>
      <w:r w:rsidR="0035516E" w:rsidRPr="00235690">
        <w:t>er citizens</w:t>
      </w:r>
      <w:r w:rsidRPr="00235690">
        <w:t xml:space="preserve"> not as consumption </w:t>
      </w:r>
      <w:r w:rsidR="00D1429E" w:rsidRPr="00235690">
        <w:t xml:space="preserve">but in large part as </w:t>
      </w:r>
      <w:r w:rsidR="0035516E" w:rsidRPr="00235690">
        <w:t xml:space="preserve">positive-return </w:t>
      </w:r>
      <w:r w:rsidR="00D1429E" w:rsidRPr="00235690">
        <w:t>investment</w:t>
      </w:r>
      <w:r w:rsidR="007B47BA" w:rsidRPr="00235690">
        <w:t>s</w:t>
      </w:r>
      <w:r w:rsidR="00D1429E" w:rsidRPr="00235690">
        <w:t xml:space="preserve"> in future productive skills. But we</w:t>
      </w:r>
      <w:r w:rsidR="00086D44" w:rsidRPr="00235690">
        <w:t xml:space="preserve"> show</w:t>
      </w:r>
      <w:r w:rsidR="00D1429E" w:rsidRPr="00235690">
        <w:t xml:space="preserve"> that o</w:t>
      </w:r>
      <w:r w:rsidR="00286D91" w:rsidRPr="00235690">
        <w:t xml:space="preserve">nce </w:t>
      </w:r>
      <w:r w:rsidR="00086D44" w:rsidRPr="00235690">
        <w:t>one</w:t>
      </w:r>
      <w:r w:rsidR="00286D91" w:rsidRPr="00235690">
        <w:t xml:space="preserve"> </w:t>
      </w:r>
      <w:r w:rsidR="00EF26CF" w:rsidRPr="00235690">
        <w:t>shine</w:t>
      </w:r>
      <w:r w:rsidR="00086D44" w:rsidRPr="00235690">
        <w:t>s</w:t>
      </w:r>
      <w:r w:rsidR="00EF26CF" w:rsidRPr="00235690">
        <w:t xml:space="preserve"> a wider light by </w:t>
      </w:r>
      <w:r w:rsidR="00286D91" w:rsidRPr="00235690">
        <w:t>us</w:t>
      </w:r>
      <w:r w:rsidR="00EF26CF" w:rsidRPr="00235690">
        <w:t>ing</w:t>
      </w:r>
      <w:r w:rsidR="00286D91" w:rsidRPr="00235690">
        <w:t xml:space="preserve"> more complete data on all relevant forms of </w:t>
      </w:r>
      <w:r w:rsidRPr="00235690">
        <w:t xml:space="preserve">intergenerational </w:t>
      </w:r>
      <w:r w:rsidR="00286D91" w:rsidRPr="00235690">
        <w:t>transfer</w:t>
      </w:r>
      <w:r w:rsidR="00CB43B4" w:rsidRPr="00235690">
        <w:t>s</w:t>
      </w:r>
      <w:r w:rsidR="009662C5" w:rsidRPr="00235690">
        <w:t>,</w:t>
      </w:r>
      <w:r w:rsidR="00EF26CF" w:rsidRPr="00235690">
        <w:t xml:space="preserve"> </w:t>
      </w:r>
      <w:r w:rsidR="00286D91" w:rsidRPr="00235690">
        <w:t>a radically different picture emerges</w:t>
      </w:r>
      <w:r w:rsidR="00D1429E" w:rsidRPr="00235690">
        <w:t xml:space="preserve"> on how, and how much, societies invest</w:t>
      </w:r>
      <w:r w:rsidR="00286D91" w:rsidRPr="00235690">
        <w:t>. The reason is th</w:t>
      </w:r>
      <w:r w:rsidR="007415A5" w:rsidRPr="00235690">
        <w:t>e</w:t>
      </w:r>
      <w:r w:rsidR="00286D91" w:rsidRPr="00235690">
        <w:t xml:space="preserve"> asymmetry in the forms of financing childhood and old age. Whereas </w:t>
      </w:r>
      <w:r w:rsidR="00F311BE" w:rsidRPr="00235690">
        <w:t>older persons</w:t>
      </w:r>
      <w:r w:rsidR="00286D91" w:rsidRPr="00235690">
        <w:t xml:space="preserve"> on the whole tend to rely on society, children are predominantly raised by their own parents</w:t>
      </w:r>
      <w:r w:rsidR="00A36D3D" w:rsidRPr="00235690">
        <w:t xml:space="preserve"> </w:t>
      </w:r>
      <w:r w:rsidR="00A36D3D" w:rsidRPr="00235690">
        <w:lastRenderedPageBreak/>
        <w:t>(</w:t>
      </w:r>
      <w:proofErr w:type="spellStart"/>
      <w:r w:rsidR="00A36D3D" w:rsidRPr="00235690">
        <w:t>Demeny</w:t>
      </w:r>
      <w:proofErr w:type="spellEnd"/>
      <w:r w:rsidR="00A36D3D" w:rsidRPr="00235690">
        <w:t xml:space="preserve"> 1987</w:t>
      </w:r>
      <w:r w:rsidR="00286D91" w:rsidRPr="00235690">
        <w:t>). Resource tr</w:t>
      </w:r>
      <w:r w:rsidR="00F311BE" w:rsidRPr="00235690">
        <w:t xml:space="preserve">ansfers flowing upward from </w:t>
      </w:r>
      <w:r w:rsidR="00286D91" w:rsidRPr="00235690">
        <w:t>active</w:t>
      </w:r>
      <w:r w:rsidR="00F311BE" w:rsidRPr="00235690">
        <w:t>-aged</w:t>
      </w:r>
      <w:r w:rsidR="00286D91" w:rsidRPr="00235690">
        <w:t xml:space="preserve"> to </w:t>
      </w:r>
      <w:r w:rsidR="00F311BE" w:rsidRPr="00235690">
        <w:t>older persons</w:t>
      </w:r>
      <w:r w:rsidR="00286D91" w:rsidRPr="00235690">
        <w:t xml:space="preserve"> are </w:t>
      </w:r>
      <w:r w:rsidR="00286D91" w:rsidRPr="00235690">
        <w:rPr>
          <w:i/>
        </w:rPr>
        <w:t>socialized</w:t>
      </w:r>
      <w:r w:rsidR="00286D91" w:rsidRPr="00235690">
        <w:t xml:space="preserve"> to a much larger extent than those flowing downward to children.</w:t>
      </w:r>
      <w:r w:rsidR="004F0640" w:rsidRPr="00235690">
        <w:rPr>
          <w:rStyle w:val="EndnoteReference"/>
        </w:rPr>
        <w:endnoteReference w:id="4"/>
      </w:r>
      <w:r w:rsidR="00286D91" w:rsidRPr="00235690">
        <w:t xml:space="preserve"> Socialization leaves traces that public statistics can capture. </w:t>
      </w:r>
      <w:r w:rsidR="009662C5" w:rsidRPr="00235690">
        <w:t>Non</w:t>
      </w:r>
      <w:r w:rsidR="00286D91" w:rsidRPr="00235690">
        <w:t>-socialized transactions do not, leaving them much less visible</w:t>
      </w:r>
      <w:r w:rsidR="00204126" w:rsidRPr="00235690">
        <w:t xml:space="preserve"> (</w:t>
      </w:r>
      <w:proofErr w:type="spellStart"/>
      <w:r w:rsidR="00204126" w:rsidRPr="00235690">
        <w:t>Folbre</w:t>
      </w:r>
      <w:proofErr w:type="spellEnd"/>
      <w:r w:rsidR="00204126" w:rsidRPr="00235690">
        <w:t xml:space="preserve"> 2008</w:t>
      </w:r>
      <w:r w:rsidR="00A36D3D" w:rsidRPr="00235690">
        <w:t>)</w:t>
      </w:r>
      <w:r w:rsidR="00286D91" w:rsidRPr="00235690">
        <w:t>.</w:t>
      </w:r>
      <w:r w:rsidR="00440C03" w:rsidRPr="00235690">
        <w:t xml:space="preserve"> </w:t>
      </w:r>
    </w:p>
    <w:p w14:paraId="2F12EB2C" w14:textId="65F696D5" w:rsidR="00286D91" w:rsidRPr="00235690" w:rsidRDefault="00B83F71" w:rsidP="00235690">
      <w:pPr>
        <w:spacing w:line="360" w:lineRule="auto"/>
      </w:pPr>
      <w:r w:rsidRPr="00235690">
        <w:t xml:space="preserve">Empirically, we make two contributions. </w:t>
      </w:r>
      <w:r w:rsidR="00474454" w:rsidRPr="00235690">
        <w:t xml:space="preserve">First, we </w:t>
      </w:r>
      <w:r w:rsidR="000C4C4F" w:rsidRPr="00235690">
        <w:t xml:space="preserve">construct age profiles through </w:t>
      </w:r>
      <w:r w:rsidR="00286D91" w:rsidRPr="00235690">
        <w:rPr>
          <w:color w:val="000000"/>
        </w:rPr>
        <w:t>National Tra</w:t>
      </w:r>
      <w:r w:rsidR="000C4C4F" w:rsidRPr="00235690">
        <w:rPr>
          <w:color w:val="000000"/>
        </w:rPr>
        <w:t>nsfer Accounts (henceforth NTA).</w:t>
      </w:r>
      <w:r w:rsidR="00F82437" w:rsidRPr="00235690">
        <w:rPr>
          <w:rStyle w:val="EndnoteReference"/>
          <w:color w:val="000000"/>
        </w:rPr>
        <w:endnoteReference w:id="5"/>
      </w:r>
      <w:r w:rsidR="000C4C4F" w:rsidRPr="00235690">
        <w:rPr>
          <w:color w:val="000000"/>
        </w:rPr>
        <w:t xml:space="preserve"> This allows us</w:t>
      </w:r>
      <w:r w:rsidR="00286D91" w:rsidRPr="00235690">
        <w:rPr>
          <w:color w:val="000000"/>
        </w:rPr>
        <w:t xml:space="preserve"> </w:t>
      </w:r>
      <w:r w:rsidR="00474454" w:rsidRPr="00235690">
        <w:rPr>
          <w:color w:val="000000"/>
        </w:rPr>
        <w:t>to</w:t>
      </w:r>
      <w:r w:rsidR="00286D91" w:rsidRPr="00235690">
        <w:rPr>
          <w:color w:val="000000"/>
        </w:rPr>
        <w:t xml:space="preserve"> look not just at the </w:t>
      </w:r>
      <w:r w:rsidR="00286D91" w:rsidRPr="00235690">
        <w:t>allocation of primary income and its secondary distribution based on standard Nat</w:t>
      </w:r>
      <w:r w:rsidR="00474454" w:rsidRPr="00235690">
        <w:t>ional Accounts (henceforth NA),</w:t>
      </w:r>
      <w:r w:rsidR="00286D91" w:rsidRPr="00235690">
        <w:t xml:space="preserve"> but also at the tertiary redistribution of after-tax revenues within households (e.g.</w:t>
      </w:r>
      <w:r w:rsidR="00484988" w:rsidRPr="00235690">
        <w:t>,</w:t>
      </w:r>
      <w:r w:rsidR="00286D91" w:rsidRPr="00235690">
        <w:t xml:space="preserve"> parents pay</w:t>
      </w:r>
      <w:r w:rsidR="000C4C4F" w:rsidRPr="00235690">
        <w:t>ing for the consumption of</w:t>
      </w:r>
      <w:r w:rsidR="00286D91" w:rsidRPr="00235690">
        <w:t xml:space="preserve"> dependent children) and between households (e.g.</w:t>
      </w:r>
      <w:r w:rsidR="00484988" w:rsidRPr="00235690">
        <w:t>,</w:t>
      </w:r>
      <w:r w:rsidR="00286D91" w:rsidRPr="00235690">
        <w:t xml:space="preserve"> retired parents suppo</w:t>
      </w:r>
      <w:r w:rsidR="000C4C4F" w:rsidRPr="00235690">
        <w:t>rting non-cohabiting</w:t>
      </w:r>
      <w:r w:rsidR="00286D91" w:rsidRPr="00235690">
        <w:t xml:space="preserve"> children).</w:t>
      </w:r>
      <w:r w:rsidR="003C74AE" w:rsidRPr="00235690">
        <w:t xml:space="preserve"> </w:t>
      </w:r>
      <w:r w:rsidR="00286D91" w:rsidRPr="00235690">
        <w:t xml:space="preserve">However, NTA still does not cover the provision and consumption of </w:t>
      </w:r>
      <w:r w:rsidR="00286D91" w:rsidRPr="00235690">
        <w:rPr>
          <w:i/>
        </w:rPr>
        <w:t xml:space="preserve">unpaid household </w:t>
      </w:r>
      <w:r w:rsidR="00B96FAE" w:rsidRPr="00235690">
        <w:rPr>
          <w:i/>
        </w:rPr>
        <w:t>labour</w:t>
      </w:r>
      <w:r w:rsidR="00286D91" w:rsidRPr="00235690">
        <w:t>.</w:t>
      </w:r>
      <w:r w:rsidR="00F82437" w:rsidRPr="00235690">
        <w:rPr>
          <w:rStyle w:val="EndnoteReference"/>
        </w:rPr>
        <w:endnoteReference w:id="6"/>
      </w:r>
      <w:r w:rsidR="00286D91" w:rsidRPr="00235690">
        <w:t xml:space="preserve"> </w:t>
      </w:r>
      <w:r w:rsidR="00A234D0" w:rsidRPr="00235690">
        <w:t>Such labo</w:t>
      </w:r>
      <w:r w:rsidR="007D58E6" w:rsidRPr="00235690">
        <w:t>u</w:t>
      </w:r>
      <w:r w:rsidR="00A234D0" w:rsidRPr="00235690">
        <w:t>r, especially in the form of care for children</w:t>
      </w:r>
      <w:r w:rsidR="00DA079A" w:rsidRPr="00235690">
        <w:t xml:space="preserve"> and the fostering of </w:t>
      </w:r>
      <w:r w:rsidR="00CB01F4" w:rsidRPr="00235690">
        <w:t xml:space="preserve">their </w:t>
      </w:r>
      <w:r w:rsidR="00DA079A" w:rsidRPr="00235690">
        <w:t xml:space="preserve">cognitive and </w:t>
      </w:r>
      <w:proofErr w:type="spellStart"/>
      <w:r w:rsidR="00DA079A" w:rsidRPr="00235690">
        <w:t>noncognitive</w:t>
      </w:r>
      <w:proofErr w:type="spellEnd"/>
      <w:r w:rsidR="00DA079A" w:rsidRPr="00235690">
        <w:t xml:space="preserve"> skills</w:t>
      </w:r>
      <w:r w:rsidR="00A234D0" w:rsidRPr="00235690">
        <w:t>, is of course a key private resource for social investment (</w:t>
      </w:r>
      <w:proofErr w:type="spellStart"/>
      <w:r w:rsidR="00A234D0" w:rsidRPr="00235690">
        <w:t>Esping</w:t>
      </w:r>
      <w:proofErr w:type="spellEnd"/>
      <w:r w:rsidR="00A234D0" w:rsidRPr="00235690">
        <w:t xml:space="preserve">-Andersen 2009; </w:t>
      </w:r>
      <w:proofErr w:type="spellStart"/>
      <w:r w:rsidR="00A234D0" w:rsidRPr="00235690">
        <w:t>Folbre</w:t>
      </w:r>
      <w:proofErr w:type="spellEnd"/>
      <w:r w:rsidR="00A234D0" w:rsidRPr="00235690">
        <w:t xml:space="preserve"> </w:t>
      </w:r>
      <w:r w:rsidR="00086D44" w:rsidRPr="00235690">
        <w:t xml:space="preserve">1994, </w:t>
      </w:r>
      <w:r w:rsidR="00A234D0" w:rsidRPr="00235690">
        <w:t xml:space="preserve">2008). </w:t>
      </w:r>
      <w:r w:rsidR="00286D91" w:rsidRPr="00235690">
        <w:t xml:space="preserve">Since our aim is to account for the fullest possible range of transfers, in a second step we </w:t>
      </w:r>
      <w:r w:rsidR="000C4C4F" w:rsidRPr="00235690">
        <w:t xml:space="preserve">therefore </w:t>
      </w:r>
      <w:r w:rsidR="00286D91" w:rsidRPr="00235690">
        <w:t xml:space="preserve">provide new calculations for this key variable missing from studies of intergenerational transfers. Based on time use survey </w:t>
      </w:r>
      <w:r w:rsidR="003C74AE" w:rsidRPr="00235690">
        <w:t>data, we</w:t>
      </w:r>
      <w:r w:rsidR="00286D91" w:rsidRPr="00235690">
        <w:t xml:space="preserve"> estimate the value of transfers of household goods and services by age. Following </w:t>
      </w:r>
      <w:proofErr w:type="spellStart"/>
      <w:r w:rsidR="00286D91" w:rsidRPr="00235690">
        <w:t>Donehower</w:t>
      </w:r>
      <w:proofErr w:type="spellEnd"/>
      <w:r w:rsidR="00286D91" w:rsidRPr="00235690">
        <w:t xml:space="preserve"> (2011), we call th</w:t>
      </w:r>
      <w:r w:rsidR="003C74AE" w:rsidRPr="00235690">
        <w:t>ese</w:t>
      </w:r>
      <w:r w:rsidR="00286D91" w:rsidRPr="00235690">
        <w:t xml:space="preserve"> National </w:t>
      </w:r>
      <w:r w:rsidR="00286D91" w:rsidRPr="00235690">
        <w:rPr>
          <w:i/>
        </w:rPr>
        <w:t>Time</w:t>
      </w:r>
      <w:r w:rsidR="00286D91" w:rsidRPr="00235690">
        <w:t xml:space="preserve"> Transfer Account</w:t>
      </w:r>
      <w:r w:rsidR="003C74AE" w:rsidRPr="00235690">
        <w:t>s</w:t>
      </w:r>
      <w:r w:rsidR="00286D91" w:rsidRPr="00235690">
        <w:t xml:space="preserve"> (henceforth NTTA). </w:t>
      </w:r>
    </w:p>
    <w:p w14:paraId="0A61CF6D" w14:textId="24F354C5" w:rsidR="00286D91" w:rsidRPr="00235690" w:rsidRDefault="00286D91" w:rsidP="00235690">
      <w:pPr>
        <w:spacing w:line="360" w:lineRule="auto"/>
        <w:rPr>
          <w:rFonts w:eastAsia="Times New Roman"/>
        </w:rPr>
      </w:pPr>
      <w:r w:rsidRPr="00235690">
        <w:t xml:space="preserve">We </w:t>
      </w:r>
      <w:r w:rsidR="00E60484" w:rsidRPr="00235690">
        <w:t>analyse</w:t>
      </w:r>
      <w:r w:rsidR="000C4C4F" w:rsidRPr="00235690">
        <w:t xml:space="preserve"> </w:t>
      </w:r>
      <w:r w:rsidR="00B83F71" w:rsidRPr="00235690">
        <w:t>all</w:t>
      </w:r>
      <w:r w:rsidRPr="00235690">
        <w:t xml:space="preserve"> three </w:t>
      </w:r>
      <w:r w:rsidR="00E00112" w:rsidRPr="00235690">
        <w:t xml:space="preserve">transfer </w:t>
      </w:r>
      <w:r w:rsidRPr="00235690">
        <w:t xml:space="preserve">channels </w:t>
      </w:r>
      <w:r w:rsidR="00E00112" w:rsidRPr="00235690">
        <w:t xml:space="preserve">– public resources, private resources, and time - </w:t>
      </w:r>
      <w:r w:rsidRPr="00235690">
        <w:t>for ten European countries spanning five welfare regime models and representing about 70</w:t>
      </w:r>
      <w:r w:rsidR="000C4C4F" w:rsidRPr="00235690">
        <w:t xml:space="preserve"> perc</w:t>
      </w:r>
      <w:r w:rsidR="00760BFF" w:rsidRPr="00235690">
        <w:t>ent</w:t>
      </w:r>
      <w:r w:rsidRPr="00235690">
        <w:t xml:space="preserve"> of the </w:t>
      </w:r>
      <w:r w:rsidR="000C4C4F" w:rsidRPr="00235690">
        <w:t xml:space="preserve">EU </w:t>
      </w:r>
      <w:r w:rsidRPr="00235690">
        <w:t>population</w:t>
      </w:r>
      <w:r w:rsidR="00F337DE" w:rsidRPr="00235690">
        <w:t xml:space="preserve"> around 2005</w:t>
      </w:r>
      <w:r w:rsidR="000C4C4F" w:rsidRPr="00235690">
        <w:t>: F</w:t>
      </w:r>
      <w:r w:rsidRPr="00235690">
        <w:t xml:space="preserve">rance, Austria </w:t>
      </w:r>
      <w:r w:rsidR="003C74AE" w:rsidRPr="00235690">
        <w:t>and Germany</w:t>
      </w:r>
      <w:r w:rsidRPr="00235690">
        <w:t>, I</w:t>
      </w:r>
      <w:r w:rsidR="003C74AE" w:rsidRPr="00235690">
        <w:t>taly and Spain</w:t>
      </w:r>
      <w:r w:rsidRPr="00235690">
        <w:t xml:space="preserve">, Hungary and </w:t>
      </w:r>
      <w:r w:rsidR="003C74AE" w:rsidRPr="00235690">
        <w:t>Slovenia, Finland and Sweden</w:t>
      </w:r>
      <w:r w:rsidRPr="00235690">
        <w:t>,</w:t>
      </w:r>
      <w:r w:rsidR="003C74AE" w:rsidRPr="00235690">
        <w:t xml:space="preserve"> and the UK</w:t>
      </w:r>
      <w:r w:rsidRPr="00235690">
        <w:t>. Our main findings ca</w:t>
      </w:r>
      <w:r w:rsidRPr="00235690">
        <w:rPr>
          <w:rFonts w:eastAsia="Times New Roman"/>
        </w:rPr>
        <w:t xml:space="preserve">n be summarized as follows. (1) In line with the pro-elderly bias literature, European welfare states, as welfare </w:t>
      </w:r>
      <w:r w:rsidRPr="00235690">
        <w:rPr>
          <w:rFonts w:eastAsia="Times New Roman"/>
          <w:i/>
        </w:rPr>
        <w:t>states</w:t>
      </w:r>
      <w:r w:rsidRPr="00235690">
        <w:rPr>
          <w:rFonts w:eastAsia="Times New Roman"/>
        </w:rPr>
        <w:t>, tend to devote significantly more resources per capita to the currently old than to the currently young. (2) However, once we take into account private, mostly intra-familial transfers a</w:t>
      </w:r>
      <w:r w:rsidR="00A112C6" w:rsidRPr="00235690">
        <w:rPr>
          <w:rFonts w:eastAsia="Times New Roman"/>
        </w:rPr>
        <w:t xml:space="preserve">nd </w:t>
      </w:r>
      <w:r w:rsidRPr="00235690">
        <w:rPr>
          <w:rFonts w:eastAsia="Times New Roman"/>
        </w:rPr>
        <w:t xml:space="preserve">unpaid household </w:t>
      </w:r>
      <w:r w:rsidR="00B96FAE" w:rsidRPr="00235690">
        <w:rPr>
          <w:rFonts w:eastAsia="Times New Roman"/>
        </w:rPr>
        <w:t>labour</w:t>
      </w:r>
      <w:r w:rsidRPr="00235690">
        <w:rPr>
          <w:rFonts w:eastAsia="Times New Roman"/>
        </w:rPr>
        <w:t xml:space="preserve"> (time), the picture radically changes. All European societies, as </w:t>
      </w:r>
      <w:r w:rsidRPr="00235690">
        <w:rPr>
          <w:rFonts w:eastAsia="Times New Roman"/>
          <w:i/>
        </w:rPr>
        <w:t>societies</w:t>
      </w:r>
      <w:r w:rsidRPr="00235690">
        <w:rPr>
          <w:rFonts w:eastAsia="Times New Roman"/>
        </w:rPr>
        <w:t xml:space="preserve">, transfer </w:t>
      </w:r>
      <w:r w:rsidR="00A112C6" w:rsidRPr="00235690">
        <w:rPr>
          <w:rFonts w:eastAsia="Times New Roman"/>
        </w:rPr>
        <w:t xml:space="preserve">far </w:t>
      </w:r>
      <w:r w:rsidRPr="00235690">
        <w:rPr>
          <w:rFonts w:eastAsia="Times New Roman"/>
        </w:rPr>
        <w:t xml:space="preserve">more </w:t>
      </w:r>
      <w:r w:rsidR="00375EED" w:rsidRPr="00235690">
        <w:rPr>
          <w:rFonts w:eastAsia="Times New Roman"/>
        </w:rPr>
        <w:t xml:space="preserve">per capita </w:t>
      </w:r>
      <w:r w:rsidRPr="00235690">
        <w:rPr>
          <w:rFonts w:eastAsia="Times New Roman"/>
        </w:rPr>
        <w:t xml:space="preserve">resources to children than to </w:t>
      </w:r>
      <w:r w:rsidR="00F311BE" w:rsidRPr="00235690">
        <w:rPr>
          <w:rFonts w:eastAsia="Times New Roman"/>
        </w:rPr>
        <w:t>older persons</w:t>
      </w:r>
      <w:r w:rsidRPr="00235690">
        <w:rPr>
          <w:rFonts w:eastAsia="Times New Roman"/>
        </w:rPr>
        <w:t xml:space="preserve">. </w:t>
      </w:r>
    </w:p>
    <w:p w14:paraId="361873B6" w14:textId="77777777" w:rsidR="00846FED" w:rsidRPr="00235690" w:rsidRDefault="00846FED" w:rsidP="00235690">
      <w:pPr>
        <w:spacing w:line="360" w:lineRule="auto"/>
        <w:rPr>
          <w:rFonts w:eastAsia="Times New Roman"/>
        </w:rPr>
      </w:pPr>
    </w:p>
    <w:p w14:paraId="655F4404" w14:textId="0268C577" w:rsidR="00286D91" w:rsidRPr="00235690" w:rsidRDefault="001E2CD3" w:rsidP="00235690">
      <w:pPr>
        <w:pStyle w:val="Heading2"/>
        <w:spacing w:line="360" w:lineRule="auto"/>
      </w:pPr>
      <w:bookmarkStart w:id="11" w:name="_Toc455585806"/>
      <w:bookmarkStart w:id="12" w:name="_Toc470785820"/>
      <w:bookmarkStart w:id="13" w:name="_Toc470788393"/>
      <w:bookmarkStart w:id="14" w:name="_Toc470961219"/>
      <w:bookmarkStart w:id="15" w:name="_Toc473385528"/>
      <w:r w:rsidRPr="00235690">
        <w:t>Time is of the essence: Constructing resource transfer age profiles</w:t>
      </w:r>
      <w:bookmarkEnd w:id="11"/>
      <w:bookmarkEnd w:id="12"/>
      <w:bookmarkEnd w:id="13"/>
      <w:bookmarkEnd w:id="14"/>
      <w:bookmarkEnd w:id="15"/>
      <w:r w:rsidRPr="00235690">
        <w:t xml:space="preserve"> </w:t>
      </w:r>
    </w:p>
    <w:p w14:paraId="2E212A66" w14:textId="2E1C5C3F" w:rsidR="00DA079A" w:rsidRPr="00235690" w:rsidRDefault="00286D91" w:rsidP="00235690">
      <w:pPr>
        <w:spacing w:line="360" w:lineRule="auto"/>
        <w:ind w:firstLine="0"/>
      </w:pPr>
      <w:r w:rsidRPr="00235690">
        <w:t xml:space="preserve">NTA introduces age into age-insensitive National Accounts. </w:t>
      </w:r>
      <w:r w:rsidR="00A36D3D" w:rsidRPr="00235690">
        <w:t>Whereas i</w:t>
      </w:r>
      <w:r w:rsidRPr="00235690">
        <w:t>n NA, revenues flow among institutions</w:t>
      </w:r>
      <w:r w:rsidR="00A36D3D" w:rsidRPr="00235690">
        <w:t xml:space="preserve"> (e.g.</w:t>
      </w:r>
      <w:r w:rsidR="00484988" w:rsidRPr="00235690">
        <w:t>,</w:t>
      </w:r>
      <w:r w:rsidR="00A36D3D" w:rsidRPr="00235690">
        <w:t xml:space="preserve"> </w:t>
      </w:r>
      <w:r w:rsidRPr="00235690">
        <w:t xml:space="preserve">households, government and </w:t>
      </w:r>
      <w:r w:rsidR="00A36D3D" w:rsidRPr="00235690">
        <w:t xml:space="preserve">firms), </w:t>
      </w:r>
      <w:r w:rsidRPr="00235690">
        <w:t xml:space="preserve">NTA recognizes that the main entries of NA’s Income Account have characteristic age profiles. </w:t>
      </w:r>
      <w:r w:rsidR="00B96FAE" w:rsidRPr="00235690">
        <w:t>Labour</w:t>
      </w:r>
      <w:r w:rsidRPr="00235690">
        <w:t xml:space="preserve"> income is minimal </w:t>
      </w:r>
      <w:r w:rsidRPr="00235690">
        <w:lastRenderedPageBreak/>
        <w:t>or zero in childhood and old age</w:t>
      </w:r>
      <w:r w:rsidR="00A36D3D" w:rsidRPr="00235690">
        <w:t xml:space="preserve">, and is largely </w:t>
      </w:r>
      <w:r w:rsidRPr="00235690">
        <w:t xml:space="preserve">concentrated in active age. Consumption is more uniformly distributed over the lifecycle. Public transfers are financed mostly by people in their active age and consumed either uniformly or mostly by people in their early or old ages. Resources of households are also reallocated from the active aged to children and </w:t>
      </w:r>
      <w:r w:rsidR="00F311BE" w:rsidRPr="00235690">
        <w:t>older persons</w:t>
      </w:r>
      <w:r w:rsidRPr="00235690">
        <w:t xml:space="preserve">. </w:t>
      </w:r>
      <w:r w:rsidR="00B83F71" w:rsidRPr="00235690">
        <w:t xml:space="preserve">The lifecycle deficit (henceforth LCD) is defined simply as the difference between consumption and </w:t>
      </w:r>
      <w:r w:rsidR="00B96FAE" w:rsidRPr="00235690">
        <w:t>labour</w:t>
      </w:r>
      <w:r w:rsidR="00B83F71" w:rsidRPr="00235690">
        <w:t xml:space="preserve"> income </w:t>
      </w:r>
      <w:r w:rsidR="00CC4BB6" w:rsidRPr="00235690">
        <w:t>at a given life</w:t>
      </w:r>
      <w:r w:rsidR="00F554E5" w:rsidRPr="00235690">
        <w:t>cycle</w:t>
      </w:r>
      <w:r w:rsidR="005F7521" w:rsidRPr="00235690">
        <w:t xml:space="preserve"> </w:t>
      </w:r>
      <w:r w:rsidR="00CC4BB6" w:rsidRPr="00235690">
        <w:t xml:space="preserve">stage </w:t>
      </w:r>
      <w:r w:rsidR="00B83F71" w:rsidRPr="00235690">
        <w:t>(</w:t>
      </w:r>
      <w:r w:rsidR="00CC4BB6" w:rsidRPr="00235690">
        <w:t>Lee and Mason 2011</w:t>
      </w:r>
      <w:r w:rsidR="00B83F71" w:rsidRPr="00235690">
        <w:t>)</w:t>
      </w:r>
      <w:r w:rsidR="00F554E5" w:rsidRPr="00235690">
        <w:t xml:space="preserve">. In rich modern societies, </w:t>
      </w:r>
      <w:r w:rsidR="00B83F71" w:rsidRPr="00235690">
        <w:t xml:space="preserve">LCD is positive (a true deficit) in childhood and old age, when consumption is not covered by one’s own </w:t>
      </w:r>
      <w:r w:rsidR="00B96FAE" w:rsidRPr="00235690">
        <w:t>labour</w:t>
      </w:r>
      <w:r w:rsidR="00CC4BB6" w:rsidRPr="00235690">
        <w:t xml:space="preserve"> income. It is negative (</w:t>
      </w:r>
      <w:r w:rsidR="00B83F71" w:rsidRPr="00235690">
        <w:t xml:space="preserve">a surplus) in active age, when </w:t>
      </w:r>
      <w:r w:rsidR="00B96FAE" w:rsidRPr="00235690">
        <w:t>labour</w:t>
      </w:r>
      <w:r w:rsidR="00B83F71" w:rsidRPr="00235690">
        <w:t xml:space="preserve"> income exceeds consumption. </w:t>
      </w:r>
    </w:p>
    <w:p w14:paraId="71A6F8E4" w14:textId="3AAB93DD" w:rsidR="00F554E5" w:rsidRPr="00235690" w:rsidRDefault="00286D91" w:rsidP="00235690">
      <w:pPr>
        <w:spacing w:line="360" w:lineRule="auto"/>
      </w:pPr>
      <w:r w:rsidRPr="00235690">
        <w:t>In short, NTA redefines income flow</w:t>
      </w:r>
      <w:r w:rsidR="005F7521" w:rsidRPr="00235690">
        <w:t>s</w:t>
      </w:r>
      <w:r w:rsidRPr="00235690">
        <w:t xml:space="preserve"> among institutions as flows among generations. The </w:t>
      </w:r>
      <w:r w:rsidR="00375EED" w:rsidRPr="00235690">
        <w:t xml:space="preserve">NTA </w:t>
      </w:r>
      <w:r w:rsidRPr="00235690">
        <w:t xml:space="preserve">accounting standard describes age groups by (1) how much </w:t>
      </w:r>
      <w:r w:rsidR="00B96FAE" w:rsidRPr="00235690">
        <w:t>labour</w:t>
      </w:r>
      <w:r w:rsidRPr="00235690">
        <w:t xml:space="preserve"> income they make; (2) how much they consume; (3) how much they give to other age groups</w:t>
      </w:r>
      <w:r w:rsidR="00A112C6" w:rsidRPr="00235690">
        <w:t xml:space="preserve">, </w:t>
      </w:r>
      <w:r w:rsidRPr="00235690">
        <w:t>either through public channels such as taxes, or directly, mostly among relatives; (4) how much they receive from other age groups</w:t>
      </w:r>
      <w:r w:rsidR="00A112C6" w:rsidRPr="00235690">
        <w:t xml:space="preserve">, </w:t>
      </w:r>
      <w:r w:rsidRPr="00235690">
        <w:t>either as public transfers, services and public goods, or as private transfers, mostly within the</w:t>
      </w:r>
      <w:r w:rsidR="00A112C6" w:rsidRPr="00235690">
        <w:t xml:space="preserve"> family</w:t>
      </w:r>
      <w:r w:rsidRPr="00235690">
        <w:t xml:space="preserve">; and (5) how much they </w:t>
      </w:r>
      <w:r w:rsidR="00F554E5" w:rsidRPr="00235690">
        <w:t>(dis)</w:t>
      </w:r>
      <w:r w:rsidRPr="00235690">
        <w:t xml:space="preserve">save. This requires the extension of the usual information base of NA with income and consumption surveys as well as administrative or survey information on tax and transfer incidence. NTA analyses start by converting </w:t>
      </w:r>
      <w:r w:rsidR="00CC4BB6" w:rsidRPr="00235690">
        <w:t>NA entries</w:t>
      </w:r>
      <w:r w:rsidRPr="00235690">
        <w:t xml:space="preserve"> to the NTA aggregates of </w:t>
      </w:r>
      <w:r w:rsidR="00B96FAE" w:rsidRPr="00235690">
        <w:t>labour</w:t>
      </w:r>
      <w:r w:rsidRPr="00235690">
        <w:t xml:space="preserve"> income (including taxes levied on </w:t>
      </w:r>
      <w:r w:rsidR="00B96FAE" w:rsidRPr="00235690">
        <w:t>labour</w:t>
      </w:r>
      <w:r w:rsidRPr="00235690">
        <w:t>), consumption (net of consumption related taxes) and the re</w:t>
      </w:r>
      <w:r w:rsidR="005F7521" w:rsidRPr="00235690">
        <w:t>sulting lifecycle deficit (</w:t>
      </w:r>
      <w:r w:rsidRPr="00235690">
        <w:t xml:space="preserve">Lee and Mason 2011). The age profiles of these items are derived from administrative data or surveys. The profiles are adjusted to the aggregates </w:t>
      </w:r>
      <w:r w:rsidR="00DA079A" w:rsidRPr="00235690">
        <w:t xml:space="preserve">to </w:t>
      </w:r>
      <w:r w:rsidRPr="00235690">
        <w:t>secur</w:t>
      </w:r>
      <w:r w:rsidR="00DA079A" w:rsidRPr="00235690">
        <w:t>e</w:t>
      </w:r>
      <w:r w:rsidRPr="00235690">
        <w:t xml:space="preserve"> consistency between NA and NTA. A similar process produces the age profiles of items such as asset-based revenues, taxes and transfers a</w:t>
      </w:r>
      <w:r w:rsidR="00A112C6" w:rsidRPr="00235690">
        <w:t>nd</w:t>
      </w:r>
      <w:r w:rsidRPr="00235690">
        <w:t xml:space="preserve"> private transfers given or received, filling the gap between consumption and </w:t>
      </w:r>
      <w:r w:rsidR="00B96FAE" w:rsidRPr="00235690">
        <w:t>labour</w:t>
      </w:r>
      <w:r w:rsidR="005F7521" w:rsidRPr="00235690">
        <w:t xml:space="preserve"> income</w:t>
      </w:r>
      <w:r w:rsidRPr="00235690">
        <w:t>.</w:t>
      </w:r>
      <w:r w:rsidR="00717A3B" w:rsidRPr="00235690">
        <w:rPr>
          <w:rStyle w:val="EndnoteReference"/>
        </w:rPr>
        <w:endnoteReference w:id="7"/>
      </w:r>
      <w:r w:rsidR="00F554E5" w:rsidRPr="00235690">
        <w:t xml:space="preserve"> This allows us to define lifecycle stages according to </w:t>
      </w:r>
      <w:r w:rsidR="00D149D6" w:rsidRPr="00235690">
        <w:t xml:space="preserve">net </w:t>
      </w:r>
      <w:r w:rsidR="00F554E5" w:rsidRPr="00235690">
        <w:rPr>
          <w:i/>
        </w:rPr>
        <w:t>resource dependency</w:t>
      </w:r>
      <w:r w:rsidR="00A112C6" w:rsidRPr="00235690">
        <w:t>, as opposed to</w:t>
      </w:r>
      <w:r w:rsidR="00F554E5" w:rsidRPr="00235690">
        <w:t xml:space="preserve"> chronologically as is co</w:t>
      </w:r>
      <w:r w:rsidR="00A112C6" w:rsidRPr="00235690">
        <w:t>nventional</w:t>
      </w:r>
      <w:r w:rsidR="00F554E5" w:rsidRPr="00235690">
        <w:t xml:space="preserve"> (e.g.</w:t>
      </w:r>
      <w:r w:rsidR="00484988" w:rsidRPr="00235690">
        <w:t>,</w:t>
      </w:r>
      <w:r w:rsidR="00F554E5" w:rsidRPr="00235690">
        <w:t xml:space="preserve"> childhood until age 18, old age from age 65).</w:t>
      </w:r>
    </w:p>
    <w:p w14:paraId="46B92C53" w14:textId="0F936EB7" w:rsidR="00286D91" w:rsidRPr="00235690" w:rsidRDefault="00F554E5" w:rsidP="00235690">
      <w:pPr>
        <w:spacing w:line="360" w:lineRule="auto"/>
      </w:pPr>
      <w:r w:rsidRPr="00235690">
        <w:t>Accordingly, p</w:t>
      </w:r>
      <w:r w:rsidR="00286D91" w:rsidRPr="00235690">
        <w:t xml:space="preserve">anel A of Figure 1 shows the </w:t>
      </w:r>
      <w:r w:rsidR="00792844" w:rsidRPr="00235690">
        <w:t xml:space="preserve">normalized </w:t>
      </w:r>
      <w:r w:rsidR="00286D91" w:rsidRPr="00235690">
        <w:t xml:space="preserve">per capita age profile of LCD </w:t>
      </w:r>
      <w:r w:rsidRPr="00235690">
        <w:t>for our</w:t>
      </w:r>
      <w:r w:rsidR="00792844" w:rsidRPr="00235690">
        <w:t xml:space="preserve"> ten countries</w:t>
      </w:r>
      <w:r w:rsidR="00286D91" w:rsidRPr="00235690">
        <w:t>.</w:t>
      </w:r>
      <w:r w:rsidR="00717A3B" w:rsidRPr="00235690">
        <w:rPr>
          <w:rStyle w:val="EndnoteReference"/>
        </w:rPr>
        <w:endnoteReference w:id="8"/>
      </w:r>
      <w:r w:rsidR="00717A3B" w:rsidRPr="00235690">
        <w:t xml:space="preserve"> </w:t>
      </w:r>
      <w:r w:rsidRPr="00235690">
        <w:t>O</w:t>
      </w:r>
      <w:r w:rsidR="00286D91" w:rsidRPr="00235690">
        <w:t xml:space="preserve">n average, NTA childhood in Europe lasts from birth until age 25, </w:t>
      </w:r>
      <w:r w:rsidRPr="00235690">
        <w:t>while</w:t>
      </w:r>
      <w:r w:rsidR="00286D91" w:rsidRPr="00235690">
        <w:t xml:space="preserve"> old</w:t>
      </w:r>
      <w:r w:rsidRPr="00235690">
        <w:t xml:space="preserve"> age already sets in </w:t>
      </w:r>
      <w:r w:rsidR="00286D91" w:rsidRPr="00235690">
        <w:t xml:space="preserve">at age 59. </w:t>
      </w:r>
      <w:r w:rsidR="00A443CD" w:rsidRPr="00235690">
        <w:t>T</w:t>
      </w:r>
      <w:r w:rsidR="00286D91" w:rsidRPr="00235690">
        <w:t xml:space="preserve">he LCD of </w:t>
      </w:r>
      <w:r w:rsidR="00F311BE" w:rsidRPr="00235690">
        <w:t xml:space="preserve">older persons </w:t>
      </w:r>
      <w:r w:rsidR="00286D91" w:rsidRPr="00235690">
        <w:t>is on the whole higher than that of children. The highest LCD during childhood is around ages 14-16, when teenagers receive the equivalent of 59</w:t>
      </w:r>
      <w:r w:rsidR="00792844" w:rsidRPr="00235690">
        <w:t xml:space="preserve"> per</w:t>
      </w:r>
      <w:r w:rsidR="00760BFF" w:rsidRPr="00235690">
        <w:t>cent</w:t>
      </w:r>
      <w:r w:rsidR="00286D91" w:rsidRPr="00235690">
        <w:t xml:space="preserve"> of the per capita </w:t>
      </w:r>
      <w:r w:rsidR="00B96FAE" w:rsidRPr="00235690">
        <w:t>labour</w:t>
      </w:r>
      <w:r w:rsidR="00286D91" w:rsidRPr="00235690">
        <w:t xml:space="preserve"> income of persons aged 30-49 in their country</w:t>
      </w:r>
      <w:r w:rsidR="00D1429E" w:rsidRPr="00235690">
        <w:t>. B</w:t>
      </w:r>
      <w:r w:rsidR="00A443CD" w:rsidRPr="00235690">
        <w:t>ut the</w:t>
      </w:r>
      <w:r w:rsidR="00286D91" w:rsidRPr="00235690">
        <w:t xml:space="preserve"> same 59</w:t>
      </w:r>
      <w:r w:rsidR="00792844" w:rsidRPr="00235690">
        <w:t xml:space="preserve"> perc</w:t>
      </w:r>
      <w:r w:rsidR="00760BFF" w:rsidRPr="00235690">
        <w:t>ent</w:t>
      </w:r>
      <w:r w:rsidR="00286D91" w:rsidRPr="00235690">
        <w:t xml:space="preserve"> share is received </w:t>
      </w:r>
      <w:r w:rsidR="00A443CD" w:rsidRPr="00235690">
        <w:t xml:space="preserve">already </w:t>
      </w:r>
      <w:r w:rsidR="00286D91" w:rsidRPr="00235690">
        <w:t xml:space="preserve">at age 66. Thereafter, the resource transfers received by </w:t>
      </w:r>
      <w:r w:rsidR="00F311BE" w:rsidRPr="00235690">
        <w:t>older persons</w:t>
      </w:r>
      <w:r w:rsidR="00286D91" w:rsidRPr="00235690">
        <w:t xml:space="preserve"> keep rising slowly. </w:t>
      </w:r>
    </w:p>
    <w:p w14:paraId="7678ADE8" w14:textId="2D227222" w:rsidR="005F7521" w:rsidRPr="00235690" w:rsidRDefault="00792844" w:rsidP="00235690">
      <w:pPr>
        <w:spacing w:line="360" w:lineRule="auto"/>
      </w:pPr>
      <w:r w:rsidRPr="00235690">
        <w:lastRenderedPageBreak/>
        <w:t xml:space="preserve">However, data on </w:t>
      </w:r>
      <w:r w:rsidRPr="00235690">
        <w:rPr>
          <w:i/>
        </w:rPr>
        <w:t>unpaid</w:t>
      </w:r>
      <w:r w:rsidR="00A144D8" w:rsidRPr="00235690">
        <w:rPr>
          <w:i/>
        </w:rPr>
        <w:t xml:space="preserve"> </w:t>
      </w:r>
      <w:r w:rsidRPr="00235690">
        <w:rPr>
          <w:i/>
        </w:rPr>
        <w:t xml:space="preserve">household labour </w:t>
      </w:r>
      <w:r w:rsidRPr="00235690">
        <w:t xml:space="preserve">are missing </w:t>
      </w:r>
      <w:r w:rsidR="00E27421" w:rsidRPr="00235690">
        <w:t>from</w:t>
      </w:r>
      <w:r w:rsidRPr="00235690">
        <w:t xml:space="preserve"> both NA and NTA (and </w:t>
      </w:r>
      <w:r w:rsidR="00F554E5" w:rsidRPr="00235690">
        <w:t xml:space="preserve">from </w:t>
      </w:r>
      <w:r w:rsidRPr="00235690">
        <w:t xml:space="preserve">panel A). Yet </w:t>
      </w:r>
      <w:r w:rsidR="008E1551" w:rsidRPr="00235690">
        <w:t>such labour</w:t>
      </w:r>
      <w:r w:rsidR="00A112C6" w:rsidRPr="00235690">
        <w:t xml:space="preserve"> is a major resource transferred across generations. S</w:t>
      </w:r>
      <w:r w:rsidR="00566488" w:rsidRPr="00235690">
        <w:t>o</w:t>
      </w:r>
      <w:r w:rsidR="00406FDF" w:rsidRPr="00235690">
        <w:t xml:space="preserve">ciologists have </w:t>
      </w:r>
      <w:r w:rsidR="003D11AC" w:rsidRPr="00235690">
        <w:t xml:space="preserve">increasingly </w:t>
      </w:r>
      <w:r w:rsidR="00406FDF" w:rsidRPr="00235690">
        <w:t>emphasized the importance of</w:t>
      </w:r>
      <w:r w:rsidR="00CB01F4" w:rsidRPr="00235690">
        <w:t>, and the</w:t>
      </w:r>
      <w:r w:rsidR="00406FDF" w:rsidRPr="00235690">
        <w:t xml:space="preserve"> changing patterns in</w:t>
      </w:r>
      <w:r w:rsidR="00CB01F4" w:rsidRPr="00235690">
        <w:t>,</w:t>
      </w:r>
      <w:r w:rsidR="00406FDF" w:rsidRPr="00235690">
        <w:t xml:space="preserve"> the time devoted to family</w:t>
      </w:r>
      <w:r w:rsidR="00220165" w:rsidRPr="00235690">
        <w:t xml:space="preserve"> duties</w:t>
      </w:r>
      <w:r w:rsidR="00406FDF" w:rsidRPr="00235690">
        <w:t xml:space="preserve"> and household</w:t>
      </w:r>
      <w:r w:rsidR="00220165" w:rsidRPr="00235690">
        <w:t xml:space="preserve"> labour (</w:t>
      </w:r>
      <w:r w:rsidR="00CB01F4" w:rsidRPr="00235690">
        <w:t xml:space="preserve">Albertini </w:t>
      </w:r>
      <w:r w:rsidR="00CB01F4" w:rsidRPr="00235690">
        <w:rPr>
          <w:i/>
        </w:rPr>
        <w:t>et al.</w:t>
      </w:r>
      <w:r w:rsidR="00CB01F4" w:rsidRPr="00235690">
        <w:t xml:space="preserve"> 2007; </w:t>
      </w:r>
      <w:proofErr w:type="spellStart"/>
      <w:r w:rsidR="00220165" w:rsidRPr="00235690">
        <w:t>Esping</w:t>
      </w:r>
      <w:proofErr w:type="spellEnd"/>
      <w:r w:rsidR="00220165" w:rsidRPr="00235690">
        <w:t xml:space="preserve">-Andersen 2015; </w:t>
      </w:r>
      <w:proofErr w:type="spellStart"/>
      <w:r w:rsidR="00220165" w:rsidRPr="00235690">
        <w:t>Gershuny</w:t>
      </w:r>
      <w:proofErr w:type="spellEnd"/>
      <w:r w:rsidR="00220165" w:rsidRPr="00235690">
        <w:t xml:space="preserve"> 2000; </w:t>
      </w:r>
      <w:proofErr w:type="spellStart"/>
      <w:r w:rsidR="00220165" w:rsidRPr="00235690">
        <w:t>Lareau</w:t>
      </w:r>
      <w:proofErr w:type="spellEnd"/>
      <w:r w:rsidR="00220165" w:rsidRPr="00235690">
        <w:t xml:space="preserve"> 2003)</w:t>
      </w:r>
      <w:r w:rsidR="00A112C6" w:rsidRPr="00235690">
        <w:t xml:space="preserve">, including the boosting of the </w:t>
      </w:r>
      <w:r w:rsidR="00220165" w:rsidRPr="00235690">
        <w:t xml:space="preserve">cognitive skills and </w:t>
      </w:r>
      <w:proofErr w:type="spellStart"/>
      <w:r w:rsidR="00220165" w:rsidRPr="00235690">
        <w:t>noncognitive</w:t>
      </w:r>
      <w:proofErr w:type="spellEnd"/>
      <w:r w:rsidR="00220165" w:rsidRPr="00235690">
        <w:t xml:space="preserve"> traits of children</w:t>
      </w:r>
      <w:r w:rsidR="00CB01F4" w:rsidRPr="00235690">
        <w:t xml:space="preserve"> </w:t>
      </w:r>
      <w:r w:rsidR="00566488" w:rsidRPr="00235690">
        <w:t>(</w:t>
      </w:r>
      <w:r w:rsidR="00CB01F4" w:rsidRPr="00235690">
        <w:t xml:space="preserve">Heckman 2013; </w:t>
      </w:r>
      <w:r w:rsidR="001739B1" w:rsidRPr="00235690">
        <w:t xml:space="preserve">Heckman and </w:t>
      </w:r>
      <w:proofErr w:type="spellStart"/>
      <w:r w:rsidR="001739B1" w:rsidRPr="00235690">
        <w:t>Masterov</w:t>
      </w:r>
      <w:proofErr w:type="spellEnd"/>
      <w:r w:rsidR="001739B1" w:rsidRPr="00235690">
        <w:t xml:space="preserve"> 2007</w:t>
      </w:r>
      <w:r w:rsidR="00566488" w:rsidRPr="00235690">
        <w:t xml:space="preserve">; Suh and </w:t>
      </w:r>
      <w:proofErr w:type="spellStart"/>
      <w:r w:rsidR="00566488" w:rsidRPr="00235690">
        <w:t>Folbre</w:t>
      </w:r>
      <w:proofErr w:type="spellEnd"/>
      <w:r w:rsidR="00566488" w:rsidRPr="00235690">
        <w:t xml:space="preserve"> 2016</w:t>
      </w:r>
      <w:r w:rsidRPr="00235690">
        <w:t>).</w:t>
      </w:r>
      <w:r w:rsidR="00CE301D" w:rsidRPr="00235690">
        <w:t xml:space="preserve"> </w:t>
      </w:r>
      <w:r w:rsidR="00286D91" w:rsidRPr="00235690">
        <w:t xml:space="preserve">The equivalent of LCD in the realm of unpaid household </w:t>
      </w:r>
      <w:r w:rsidR="00B96FAE" w:rsidRPr="00235690">
        <w:t>labour</w:t>
      </w:r>
      <w:r w:rsidR="00146EFB" w:rsidRPr="00235690">
        <w:t xml:space="preserve"> is</w:t>
      </w:r>
      <w:r w:rsidR="00286D91" w:rsidRPr="00235690">
        <w:t xml:space="preserve"> net </w:t>
      </w:r>
      <w:r w:rsidR="00286D91" w:rsidRPr="00235690">
        <w:rPr>
          <w:i/>
        </w:rPr>
        <w:t>time</w:t>
      </w:r>
      <w:r w:rsidR="00286D91" w:rsidRPr="00235690">
        <w:t xml:space="preserve"> transfers. </w:t>
      </w:r>
      <w:r w:rsidR="00375EED" w:rsidRPr="00235690">
        <w:t>Their</w:t>
      </w:r>
      <w:r w:rsidR="00286D91" w:rsidRPr="00235690">
        <w:t xml:space="preserve"> meaning is the same: </w:t>
      </w:r>
      <w:r w:rsidR="00376126" w:rsidRPr="00235690">
        <w:t xml:space="preserve">the value of household </w:t>
      </w:r>
      <w:r w:rsidR="00B96FAE" w:rsidRPr="00235690">
        <w:t>labour</w:t>
      </w:r>
      <w:r w:rsidR="00376126" w:rsidRPr="00235690">
        <w:t xml:space="preserve"> </w:t>
      </w:r>
      <w:r w:rsidR="00286D91" w:rsidRPr="00235690">
        <w:t>consum</w:t>
      </w:r>
      <w:r w:rsidR="00376126" w:rsidRPr="00235690">
        <w:t>ed</w:t>
      </w:r>
      <w:r w:rsidR="00286D91" w:rsidRPr="00235690">
        <w:t xml:space="preserve"> </w:t>
      </w:r>
      <w:r w:rsidR="00375EED" w:rsidRPr="00235690">
        <w:t xml:space="preserve">less </w:t>
      </w:r>
      <w:r w:rsidR="00376126" w:rsidRPr="00235690">
        <w:t xml:space="preserve">the value of household </w:t>
      </w:r>
      <w:r w:rsidR="00B96FAE" w:rsidRPr="00235690">
        <w:t>labour</w:t>
      </w:r>
      <w:r w:rsidR="00376126" w:rsidRPr="00235690">
        <w:t xml:space="preserve"> </w:t>
      </w:r>
      <w:r w:rsidR="00375EED" w:rsidRPr="00235690">
        <w:t>produc</w:t>
      </w:r>
      <w:r w:rsidR="00376126" w:rsidRPr="00235690">
        <w:t>ed</w:t>
      </w:r>
      <w:r w:rsidR="00286D91" w:rsidRPr="00235690">
        <w:t>. The goods and servi</w:t>
      </w:r>
      <w:r w:rsidR="0029336A" w:rsidRPr="00235690">
        <w:t xml:space="preserve">ces produced and consumed here, </w:t>
      </w:r>
      <w:r w:rsidR="00286D91" w:rsidRPr="00235690">
        <w:t>however, are not part of the national economy, but of the household economy.</w:t>
      </w:r>
      <w:r w:rsidR="005826D8" w:rsidRPr="00235690">
        <w:rPr>
          <w:rStyle w:val="EndnoteReference"/>
        </w:rPr>
        <w:endnoteReference w:id="9"/>
      </w:r>
      <w:r w:rsidR="00881D01" w:rsidRPr="00235690">
        <w:t xml:space="preserve"> </w:t>
      </w:r>
      <w:r w:rsidR="00E27421" w:rsidRPr="00235690">
        <w:t xml:space="preserve">We </w:t>
      </w:r>
      <w:r w:rsidR="00A144D8" w:rsidRPr="00235690">
        <w:t xml:space="preserve">therefore </w:t>
      </w:r>
      <w:r w:rsidR="00E27421" w:rsidRPr="00235690">
        <w:t>created the age profile of net time transfers</w:t>
      </w:r>
      <w:r w:rsidR="00A144D8" w:rsidRPr="00235690">
        <w:t>,</w:t>
      </w:r>
      <w:r w:rsidR="00E27421" w:rsidRPr="00235690">
        <w:t xml:space="preserve"> in three steps</w:t>
      </w:r>
      <w:r w:rsidR="00F554E5" w:rsidRPr="00235690">
        <w:t xml:space="preserve"> (</w:t>
      </w:r>
      <w:r w:rsidR="00881D01" w:rsidRPr="00235690">
        <w:t xml:space="preserve">explained in greater detail </w:t>
      </w:r>
      <w:r w:rsidR="00E27421" w:rsidRPr="00235690">
        <w:t xml:space="preserve">in </w:t>
      </w:r>
      <w:r w:rsidR="00881D01" w:rsidRPr="00235690">
        <w:t xml:space="preserve">online </w:t>
      </w:r>
      <w:r w:rsidR="00E27421" w:rsidRPr="00235690">
        <w:t>Appendix 1</w:t>
      </w:r>
      <w:r w:rsidR="00F554E5" w:rsidRPr="00235690">
        <w:t>)</w:t>
      </w:r>
      <w:r w:rsidR="00E27421" w:rsidRPr="00235690">
        <w:t xml:space="preserve">. First, we used </w:t>
      </w:r>
      <w:r w:rsidR="005F7521" w:rsidRPr="00235690">
        <w:t xml:space="preserve">HETUS </w:t>
      </w:r>
      <w:r w:rsidR="00F554E5" w:rsidRPr="00235690">
        <w:t xml:space="preserve">and other </w:t>
      </w:r>
      <w:r w:rsidR="00E27421" w:rsidRPr="00235690">
        <w:t>time use surveys to identify the time spent on househo</w:t>
      </w:r>
      <w:r w:rsidR="00D149D6" w:rsidRPr="00235690">
        <w:t>ld production activities by age</w:t>
      </w:r>
      <w:r w:rsidR="00881D01" w:rsidRPr="00235690">
        <w:t>.</w:t>
      </w:r>
      <w:r w:rsidR="00A108DB" w:rsidRPr="00235690">
        <w:rPr>
          <w:rStyle w:val="EndnoteReference"/>
        </w:rPr>
        <w:endnoteReference w:id="10"/>
      </w:r>
      <w:r w:rsidR="00E27421" w:rsidRPr="00235690">
        <w:t xml:space="preserve"> Second, home production was assigned to its </w:t>
      </w:r>
      <w:r w:rsidR="00881D01" w:rsidRPr="00235690">
        <w:t>actual consumers</w:t>
      </w:r>
      <w:r w:rsidR="00E27421" w:rsidRPr="00235690">
        <w:t>.</w:t>
      </w:r>
      <w:r w:rsidR="00881D01" w:rsidRPr="00235690">
        <w:t xml:space="preserve"> </w:t>
      </w:r>
      <w:r w:rsidR="00E27421" w:rsidRPr="00235690">
        <w:t xml:space="preserve">Third, </w:t>
      </w:r>
      <w:r w:rsidR="00F554E5" w:rsidRPr="00235690">
        <w:t>we</w:t>
      </w:r>
      <w:r w:rsidR="00E27421" w:rsidRPr="00235690">
        <w:t xml:space="preserve"> impute</w:t>
      </w:r>
      <w:r w:rsidR="00D149D6" w:rsidRPr="00235690">
        <w:t>d</w:t>
      </w:r>
      <w:r w:rsidR="00E27421" w:rsidRPr="00235690">
        <w:t xml:space="preserve"> the value of time spent</w:t>
      </w:r>
      <w:r w:rsidR="00F554E5" w:rsidRPr="00235690">
        <w:t xml:space="preserve"> in </w:t>
      </w:r>
      <w:r w:rsidR="00E27421" w:rsidRPr="00235690">
        <w:t xml:space="preserve">unpaid household labour </w:t>
      </w:r>
      <w:r w:rsidR="00F554E5" w:rsidRPr="00235690">
        <w:t xml:space="preserve">using the wages </w:t>
      </w:r>
      <w:r w:rsidR="00881D01" w:rsidRPr="00235690">
        <w:t xml:space="preserve">of the </w:t>
      </w:r>
      <w:r w:rsidR="00E27421" w:rsidRPr="00235690">
        <w:t xml:space="preserve">person whose job is done </w:t>
      </w:r>
      <w:r w:rsidR="00F554E5" w:rsidRPr="00235690">
        <w:t xml:space="preserve">as our reference point </w:t>
      </w:r>
      <w:r w:rsidR="00E27421" w:rsidRPr="00235690">
        <w:t>(specialist replacement wage approach).</w:t>
      </w:r>
      <w:r w:rsidR="00E27421" w:rsidRPr="00235690" w:rsidDel="00781555">
        <w:t xml:space="preserve"> </w:t>
      </w:r>
    </w:p>
    <w:p w14:paraId="6E7B15D1" w14:textId="77777777" w:rsidR="005F7521" w:rsidRPr="00235690" w:rsidRDefault="005F7521" w:rsidP="00235690">
      <w:pPr>
        <w:spacing w:line="360" w:lineRule="auto"/>
      </w:pPr>
    </w:p>
    <w:p w14:paraId="40F0BC78" w14:textId="6FC80A43" w:rsidR="005F7521" w:rsidRPr="00235690" w:rsidRDefault="00484A2E" w:rsidP="00235690">
      <w:pPr>
        <w:spacing w:line="360" w:lineRule="auto"/>
      </w:pPr>
      <w:r w:rsidRPr="00235690">
        <w:t>Figure</w:t>
      </w:r>
      <w:r w:rsidR="00EF3B50" w:rsidRPr="00235690">
        <w:t xml:space="preserve"> </w:t>
      </w:r>
      <w:r w:rsidRPr="00235690">
        <w:t>1</w:t>
      </w:r>
      <w:r w:rsidR="00EF3B50" w:rsidRPr="00235690">
        <w:t xml:space="preserve"> </w:t>
      </w:r>
      <w:r w:rsidR="005F7521" w:rsidRPr="00235690">
        <w:t>here</w:t>
      </w:r>
    </w:p>
    <w:p w14:paraId="59EFA29A" w14:textId="0EB49625" w:rsidR="005633AD" w:rsidRPr="00235690" w:rsidRDefault="00286D91" w:rsidP="00235690">
      <w:pPr>
        <w:spacing w:line="360" w:lineRule="auto"/>
      </w:pPr>
      <w:r w:rsidRPr="00235690">
        <w:t xml:space="preserve"> </w:t>
      </w:r>
    </w:p>
    <w:p w14:paraId="4E196E77" w14:textId="1603A181" w:rsidR="00536D03" w:rsidRPr="00235690" w:rsidRDefault="00A108DB" w:rsidP="00235690">
      <w:pPr>
        <w:spacing w:line="360" w:lineRule="auto"/>
      </w:pPr>
      <w:r w:rsidRPr="00235690">
        <w:t>Accordingly, Panel B of Figure 1 presents the per capita age profile of net time transfers, containing the market value of all work performed in the household.</w:t>
      </w:r>
      <w:r w:rsidRPr="00235690">
        <w:rPr>
          <w:rStyle w:val="EndnoteReference"/>
        </w:rPr>
        <w:endnoteReference w:id="11"/>
      </w:r>
      <w:r w:rsidRPr="00235690">
        <w:t xml:space="preserve"> </w:t>
      </w:r>
      <w:r w:rsidR="00B83F71" w:rsidRPr="00235690">
        <w:t>Clearly, t</w:t>
      </w:r>
      <w:r w:rsidR="00286D91" w:rsidRPr="00235690">
        <w:t xml:space="preserve">he shape of the net time transfer profile is radically different in the household economy (panel B) compared to the national economy (panel A). Net time transfers are highest among </w:t>
      </w:r>
      <w:proofErr w:type="spellStart"/>
      <w:r w:rsidR="00286D91" w:rsidRPr="00235690">
        <w:t>newborns</w:t>
      </w:r>
      <w:proofErr w:type="spellEnd"/>
      <w:r w:rsidR="00D149D6" w:rsidRPr="00235690">
        <w:t xml:space="preserve">: </w:t>
      </w:r>
      <w:r w:rsidR="00286D91" w:rsidRPr="00235690">
        <w:t xml:space="preserve">quite naturally, </w:t>
      </w:r>
      <w:r w:rsidR="00D149D6" w:rsidRPr="00235690">
        <w:t xml:space="preserve">babies </w:t>
      </w:r>
      <w:r w:rsidR="00286D91" w:rsidRPr="00235690">
        <w:t xml:space="preserve">need the most </w:t>
      </w:r>
      <w:r w:rsidR="00497678" w:rsidRPr="00235690">
        <w:t xml:space="preserve">time-intensive </w:t>
      </w:r>
      <w:r w:rsidR="00286D91" w:rsidRPr="00235690">
        <w:t>care. During their fir</w:t>
      </w:r>
      <w:r w:rsidR="00D149D6" w:rsidRPr="00235690">
        <w:t xml:space="preserve">st year of life, </w:t>
      </w:r>
      <w:r w:rsidR="00286D91" w:rsidRPr="00235690">
        <w:t>Europe</w:t>
      </w:r>
      <w:r w:rsidR="00D149D6" w:rsidRPr="00235690">
        <w:t>an children</w:t>
      </w:r>
      <w:r w:rsidR="00286D91" w:rsidRPr="00235690">
        <w:t xml:space="preserve"> receive on average </w:t>
      </w:r>
      <w:r w:rsidR="00CD3AD3" w:rsidRPr="00235690">
        <w:t xml:space="preserve">more than </w:t>
      </w:r>
      <w:r w:rsidR="00286D91" w:rsidRPr="00235690">
        <w:t xml:space="preserve">the yearly per capita prime-age </w:t>
      </w:r>
      <w:r w:rsidR="00B96FAE" w:rsidRPr="00235690">
        <w:t>labour</w:t>
      </w:r>
      <w:r w:rsidR="00286D91" w:rsidRPr="00235690">
        <w:t xml:space="preserve"> income in their country</w:t>
      </w:r>
      <w:r w:rsidR="00D149D6" w:rsidRPr="00235690">
        <w:t xml:space="preserve"> in time alone</w:t>
      </w:r>
      <w:r w:rsidR="00286D91" w:rsidRPr="00235690">
        <w:t>. These time transfers subsequently decrease</w:t>
      </w:r>
      <w:r w:rsidR="002379D3" w:rsidRPr="00235690">
        <w:t>,</w:t>
      </w:r>
      <w:r w:rsidR="00286D91" w:rsidRPr="00235690">
        <w:t xml:space="preserve"> but </w:t>
      </w:r>
      <w:r w:rsidR="002379D3" w:rsidRPr="00235690">
        <w:t xml:space="preserve">they </w:t>
      </w:r>
      <w:r w:rsidR="00286D91" w:rsidRPr="00235690">
        <w:t xml:space="preserve">remain substantial throughout childhood and </w:t>
      </w:r>
      <w:r w:rsidR="00D151BC" w:rsidRPr="00235690">
        <w:t>adolescence</w:t>
      </w:r>
      <w:r w:rsidR="00286D91" w:rsidRPr="00235690">
        <w:t xml:space="preserve">. </w:t>
      </w:r>
    </w:p>
    <w:p w14:paraId="62CA737E" w14:textId="1FE14D5E" w:rsidR="00286D91" w:rsidRPr="00235690" w:rsidRDefault="001F7CEC" w:rsidP="00235690">
      <w:pPr>
        <w:spacing w:line="360" w:lineRule="auto"/>
      </w:pPr>
      <w:r w:rsidRPr="00235690">
        <w:t>Five-year-olds still</w:t>
      </w:r>
      <w:r w:rsidR="00286D91" w:rsidRPr="00235690">
        <w:t xml:space="preserve"> receive nearly 60</w:t>
      </w:r>
      <w:r w:rsidR="00CD3AD3" w:rsidRPr="00235690">
        <w:t xml:space="preserve"> per</w:t>
      </w:r>
      <w:r w:rsidR="00760BFF" w:rsidRPr="00235690">
        <w:t>cent</w:t>
      </w:r>
      <w:r w:rsidR="00286D91" w:rsidRPr="00235690">
        <w:t xml:space="preserve"> of yearly per capita </w:t>
      </w:r>
      <w:r w:rsidR="00B96FAE" w:rsidRPr="00235690">
        <w:t>labour</w:t>
      </w:r>
      <w:r w:rsidR="00286D91" w:rsidRPr="00235690">
        <w:t xml:space="preserve"> income </w:t>
      </w:r>
      <w:r w:rsidRPr="00235690">
        <w:t>in time transfers. Time</w:t>
      </w:r>
      <w:r w:rsidR="002379D3" w:rsidRPr="00235690">
        <w:t xml:space="preserve"> transfers </w:t>
      </w:r>
      <w:r w:rsidRPr="00235690">
        <w:t xml:space="preserve">still amount to </w:t>
      </w:r>
      <w:r w:rsidR="002379D3" w:rsidRPr="00235690">
        <w:t>m</w:t>
      </w:r>
      <w:r w:rsidR="00286D91" w:rsidRPr="00235690">
        <w:t xml:space="preserve">ore than one-third of </w:t>
      </w:r>
      <w:r w:rsidR="00B96FAE" w:rsidRPr="00235690">
        <w:t>labour</w:t>
      </w:r>
      <w:r w:rsidRPr="00235690">
        <w:t xml:space="preserve"> income at age 10 and</w:t>
      </w:r>
      <w:r w:rsidR="00286D91" w:rsidRPr="00235690">
        <w:t xml:space="preserve"> more than one-fifth at age 15. </w:t>
      </w:r>
      <w:r w:rsidR="00CD3AD3" w:rsidRPr="00235690">
        <w:t>The</w:t>
      </w:r>
      <w:r w:rsidR="002379D3" w:rsidRPr="00235690">
        <w:t xml:space="preserve">y only </w:t>
      </w:r>
      <w:r w:rsidR="00286D91" w:rsidRPr="00235690">
        <w:t>turn negative as late as age 25</w:t>
      </w:r>
      <w:r w:rsidR="00A144D8" w:rsidRPr="00235690">
        <w:t>. T</w:t>
      </w:r>
      <w:r w:rsidR="00286D91" w:rsidRPr="00235690">
        <w:t xml:space="preserve">he largest net </w:t>
      </w:r>
      <w:r w:rsidR="00A144D8" w:rsidRPr="00235690">
        <w:t>time contributors</w:t>
      </w:r>
      <w:r w:rsidR="00286D91" w:rsidRPr="00235690">
        <w:t xml:space="preserve"> </w:t>
      </w:r>
      <w:r w:rsidR="00A144D8" w:rsidRPr="00235690">
        <w:t xml:space="preserve">are </w:t>
      </w:r>
      <w:r w:rsidR="00286D91" w:rsidRPr="00235690">
        <w:t>in their thirties to mid-forties</w:t>
      </w:r>
      <w:r w:rsidRPr="00235690">
        <w:t>. This is</w:t>
      </w:r>
      <w:r w:rsidR="000F2700" w:rsidRPr="00235690">
        <w:t xml:space="preserve"> </w:t>
      </w:r>
      <w:r w:rsidR="00286D91" w:rsidRPr="00235690">
        <w:t xml:space="preserve">the notorious ‘rush hour of life’ </w:t>
      </w:r>
      <w:r w:rsidR="001739B1" w:rsidRPr="00235690">
        <w:t>(</w:t>
      </w:r>
      <w:proofErr w:type="spellStart"/>
      <w:r w:rsidR="001739B1" w:rsidRPr="00235690">
        <w:t>Bittman</w:t>
      </w:r>
      <w:proofErr w:type="spellEnd"/>
      <w:r w:rsidR="001739B1" w:rsidRPr="00235690">
        <w:t xml:space="preserve"> and </w:t>
      </w:r>
      <w:proofErr w:type="spellStart"/>
      <w:r w:rsidR="001739B1" w:rsidRPr="00235690">
        <w:t>Wajcman</w:t>
      </w:r>
      <w:proofErr w:type="spellEnd"/>
      <w:r w:rsidR="001739B1" w:rsidRPr="00235690">
        <w:t xml:space="preserve"> 2000)</w:t>
      </w:r>
      <w:r w:rsidR="00A27EDC" w:rsidRPr="00235690">
        <w:t xml:space="preserve">, </w:t>
      </w:r>
      <w:r w:rsidR="00286D91" w:rsidRPr="00235690">
        <w:t xml:space="preserve">when adults reach the peak of their workload in the </w:t>
      </w:r>
      <w:r w:rsidR="00B96FAE" w:rsidRPr="00235690">
        <w:t>labour</w:t>
      </w:r>
      <w:r w:rsidR="00286D91" w:rsidRPr="00235690">
        <w:t xml:space="preserve"> market and also tend to be burdened with extensive </w:t>
      </w:r>
      <w:r w:rsidR="00363CC4" w:rsidRPr="00235690">
        <w:t xml:space="preserve">household and </w:t>
      </w:r>
      <w:r w:rsidR="00286D91" w:rsidRPr="00235690">
        <w:t>family care</w:t>
      </w:r>
      <w:r w:rsidR="00DA079A" w:rsidRPr="00235690">
        <w:t xml:space="preserve"> duties</w:t>
      </w:r>
      <w:r w:rsidR="00086D44" w:rsidRPr="00235690">
        <w:t>. These</w:t>
      </w:r>
      <w:r w:rsidR="00DA079A" w:rsidRPr="00235690">
        <w:t xml:space="preserve"> </w:t>
      </w:r>
      <w:r w:rsidR="00E00112" w:rsidRPr="00235690">
        <w:lastRenderedPageBreak/>
        <w:t xml:space="preserve">duties are </w:t>
      </w:r>
      <w:r w:rsidR="00DA079A" w:rsidRPr="00235690">
        <w:t xml:space="preserve">most time-intensive </w:t>
      </w:r>
      <w:r w:rsidR="00C576AA" w:rsidRPr="00235690">
        <w:t xml:space="preserve">precisely </w:t>
      </w:r>
      <w:r w:rsidR="00E00112" w:rsidRPr="00235690">
        <w:t xml:space="preserve">during the most </w:t>
      </w:r>
      <w:r w:rsidR="00DA079A" w:rsidRPr="00235690">
        <w:t xml:space="preserve">investment-like </w:t>
      </w:r>
      <w:r w:rsidR="00363CC4" w:rsidRPr="00235690">
        <w:t xml:space="preserve">stage </w:t>
      </w:r>
      <w:r w:rsidR="00DA079A" w:rsidRPr="00235690">
        <w:t>of child rearing</w:t>
      </w:r>
      <w:r w:rsidR="00086D44" w:rsidRPr="00235690">
        <w:t>:</w:t>
      </w:r>
      <w:r w:rsidR="00DD79C7" w:rsidRPr="00235690">
        <w:t xml:space="preserve"> </w:t>
      </w:r>
      <w:r w:rsidR="00363CC4" w:rsidRPr="00235690">
        <w:t>the first years of life</w:t>
      </w:r>
      <w:r w:rsidR="00A27EDC" w:rsidRPr="00235690">
        <w:t>.</w:t>
      </w:r>
      <w:r w:rsidR="00286D91" w:rsidRPr="00235690">
        <w:t xml:space="preserve"> </w:t>
      </w:r>
    </w:p>
    <w:p w14:paraId="289ACF20" w14:textId="0B1FC609" w:rsidR="002454DD" w:rsidRPr="00235690" w:rsidRDefault="00536D03" w:rsidP="00235690">
      <w:pPr>
        <w:spacing w:line="360" w:lineRule="auto"/>
      </w:pPr>
      <w:r w:rsidRPr="00235690">
        <w:t>N</w:t>
      </w:r>
      <w:r w:rsidR="00286D91" w:rsidRPr="00235690">
        <w:t>et time transfers in panel B remain negative much longe</w:t>
      </w:r>
      <w:r w:rsidR="00A108DB" w:rsidRPr="00235690">
        <w:t xml:space="preserve">r than in panel </w:t>
      </w:r>
      <w:proofErr w:type="gramStart"/>
      <w:r w:rsidR="00A108DB" w:rsidRPr="00235690">
        <w:t>A</w:t>
      </w:r>
      <w:proofErr w:type="gramEnd"/>
      <w:r w:rsidR="001F7CEC" w:rsidRPr="00235690">
        <w:t xml:space="preserve">, becoming </w:t>
      </w:r>
      <w:r w:rsidR="00286D91" w:rsidRPr="00235690">
        <w:t>pos</w:t>
      </w:r>
      <w:r w:rsidR="001F7CEC" w:rsidRPr="00235690">
        <w:t>itive only among the oldest-old,</w:t>
      </w:r>
      <w:r w:rsidR="00286D91" w:rsidRPr="00235690">
        <w:t xml:space="preserve"> after age 80. </w:t>
      </w:r>
      <w:r w:rsidR="00A108DB" w:rsidRPr="00235690">
        <w:t>A</w:t>
      </w:r>
      <w:r w:rsidR="00286D91" w:rsidRPr="00235690">
        <w:t xml:space="preserve">ctive adulthood </w:t>
      </w:r>
      <w:r w:rsidR="001F7CEC" w:rsidRPr="00235690">
        <w:t>thus lasts</w:t>
      </w:r>
      <w:r w:rsidR="00286D91" w:rsidRPr="00235690">
        <w:t xml:space="preserve"> longer in terms of unpaid household </w:t>
      </w:r>
      <w:r w:rsidR="00B96FAE" w:rsidRPr="00235690">
        <w:t>labour</w:t>
      </w:r>
      <w:r w:rsidR="00286D91" w:rsidRPr="00235690">
        <w:t xml:space="preserve"> (from age 25 to age 79) than in terms of the natio</w:t>
      </w:r>
      <w:r w:rsidR="00A108DB" w:rsidRPr="00235690">
        <w:t xml:space="preserve">nal economy (from 26 to </w:t>
      </w:r>
      <w:r w:rsidR="001F7CEC" w:rsidRPr="00235690">
        <w:t>58</w:t>
      </w:r>
      <w:r w:rsidR="00286D91" w:rsidRPr="00235690">
        <w:t xml:space="preserve">). This reflects the housework, </w:t>
      </w:r>
      <w:proofErr w:type="spellStart"/>
      <w:r w:rsidR="00286D91" w:rsidRPr="00235690">
        <w:t>grandparenting</w:t>
      </w:r>
      <w:proofErr w:type="spellEnd"/>
      <w:r w:rsidR="00CD3AD3" w:rsidRPr="00235690">
        <w:t>,</w:t>
      </w:r>
      <w:r w:rsidR="00286D91" w:rsidRPr="00235690">
        <w:t xml:space="preserve"> and other civil societ</w:t>
      </w:r>
      <w:r w:rsidR="00DE00EC" w:rsidRPr="00235690">
        <w:t xml:space="preserve">y activities undertaken by </w:t>
      </w:r>
      <w:r w:rsidR="00286D91" w:rsidRPr="00235690">
        <w:t>young-old Europeans in their sixties and seventies.</w:t>
      </w:r>
      <w:r w:rsidR="00153AD7" w:rsidRPr="00235690">
        <w:t xml:space="preserve"> Yet </w:t>
      </w:r>
      <w:r w:rsidR="00DE00EC" w:rsidRPr="00235690">
        <w:t xml:space="preserve">the value of such activities </w:t>
      </w:r>
      <w:r w:rsidR="00153AD7" w:rsidRPr="00235690">
        <w:t>is comparatively small</w:t>
      </w:r>
      <w:r w:rsidR="001F7CEC" w:rsidRPr="00235690">
        <w:t xml:space="preserve"> after age 70</w:t>
      </w:r>
      <w:r w:rsidR="00F22D9E" w:rsidRPr="00235690">
        <w:t>.</w:t>
      </w:r>
      <w:r w:rsidR="00153AD7" w:rsidRPr="00235690">
        <w:t xml:space="preserve"> </w:t>
      </w:r>
      <w:r w:rsidR="00F22D9E" w:rsidRPr="00235690">
        <w:t xml:space="preserve">This is because </w:t>
      </w:r>
      <w:r w:rsidR="00153AD7" w:rsidRPr="00235690">
        <w:t xml:space="preserve">the biggest </w:t>
      </w:r>
      <w:r w:rsidR="00F22D9E" w:rsidRPr="00235690">
        <w:t xml:space="preserve">share of </w:t>
      </w:r>
      <w:r w:rsidR="00DE00EC" w:rsidRPr="00235690">
        <w:t xml:space="preserve">unpaid </w:t>
      </w:r>
      <w:r w:rsidR="00153AD7" w:rsidRPr="00235690">
        <w:t>household labour</w:t>
      </w:r>
      <w:r w:rsidR="00F22D9E" w:rsidRPr="00235690">
        <w:t xml:space="preserve"> by far</w:t>
      </w:r>
      <w:r w:rsidR="00153AD7" w:rsidRPr="00235690">
        <w:t xml:space="preserve"> </w:t>
      </w:r>
      <w:r w:rsidR="00F22D9E" w:rsidRPr="00235690">
        <w:t xml:space="preserve">is not direct person-to-person care or inter-household transfers but rather ‘household public goods’ produced </w:t>
      </w:r>
      <w:r w:rsidR="00153AD7" w:rsidRPr="00235690">
        <w:t xml:space="preserve">by household </w:t>
      </w:r>
      <w:r w:rsidR="00153AD7" w:rsidRPr="00235690">
        <w:rPr>
          <w:i/>
        </w:rPr>
        <w:t>members</w:t>
      </w:r>
      <w:r w:rsidR="00F22D9E" w:rsidRPr="00235690">
        <w:t xml:space="preserve"> for joint household consumption (e.g. cooking, cleaning, </w:t>
      </w:r>
      <w:proofErr w:type="gramStart"/>
      <w:r w:rsidR="00F22D9E" w:rsidRPr="00235690">
        <w:t>gardening</w:t>
      </w:r>
      <w:proofErr w:type="gramEnd"/>
      <w:r w:rsidR="00F22D9E" w:rsidRPr="00235690">
        <w:t>)</w:t>
      </w:r>
      <w:r w:rsidR="00153AD7" w:rsidRPr="00235690">
        <w:t xml:space="preserve">. Yet </w:t>
      </w:r>
      <w:r w:rsidR="00F22D9E" w:rsidRPr="00235690">
        <w:t xml:space="preserve">older Europeans overwhelmingly no longer live inside multigenerational households </w:t>
      </w:r>
      <w:r w:rsidR="00F22D9E" w:rsidRPr="00235690">
        <w:rPr>
          <w:i/>
        </w:rPr>
        <w:t>with</w:t>
      </w:r>
      <w:r w:rsidR="00F22D9E" w:rsidRPr="00235690">
        <w:t xml:space="preserve"> their children and grandchildren. </w:t>
      </w:r>
      <w:r w:rsidR="00F1455F" w:rsidRPr="00235690">
        <w:t>Conservatively estimated, a</w:t>
      </w:r>
      <w:r w:rsidR="00F22D9E" w:rsidRPr="00235690">
        <w:t>t l</w:t>
      </w:r>
      <w:r w:rsidR="00153AD7" w:rsidRPr="00235690">
        <w:t xml:space="preserve">east 55 percent of Spaniards and </w:t>
      </w:r>
      <w:r w:rsidR="00DE00EC" w:rsidRPr="00235690">
        <w:t>Slovenians</w:t>
      </w:r>
      <w:r w:rsidR="00F22D9E" w:rsidRPr="00235690">
        <w:t xml:space="preserve"> aged above 65</w:t>
      </w:r>
      <w:r w:rsidR="00DE00EC" w:rsidRPr="00235690">
        <w:t xml:space="preserve"> and more than </w:t>
      </w:r>
      <w:r w:rsidR="00F311BE" w:rsidRPr="00235690">
        <w:t xml:space="preserve">70 percent of </w:t>
      </w:r>
      <w:r w:rsidR="00F22D9E" w:rsidRPr="00235690">
        <w:t xml:space="preserve">older </w:t>
      </w:r>
      <w:r w:rsidR="00153AD7" w:rsidRPr="00235690">
        <w:t>Europeans els</w:t>
      </w:r>
      <w:r w:rsidR="00DE00EC" w:rsidRPr="00235690">
        <w:t>e</w:t>
      </w:r>
      <w:r w:rsidR="00153AD7" w:rsidRPr="00235690">
        <w:t>where</w:t>
      </w:r>
      <w:r w:rsidR="00DE00EC" w:rsidRPr="00235690">
        <w:t xml:space="preserve"> </w:t>
      </w:r>
      <w:r w:rsidR="00153AD7" w:rsidRPr="00235690">
        <w:t>do not live with their children</w:t>
      </w:r>
      <w:r w:rsidR="00F1455F" w:rsidRPr="00235690">
        <w:t xml:space="preserve"> (Eurostat Census Hub data)</w:t>
      </w:r>
      <w:r w:rsidR="00153AD7" w:rsidRPr="00235690">
        <w:t xml:space="preserve">. </w:t>
      </w:r>
    </w:p>
    <w:p w14:paraId="631BDEDD" w14:textId="77777777" w:rsidR="00846FED" w:rsidRPr="00235690" w:rsidRDefault="00846FED" w:rsidP="00235690">
      <w:pPr>
        <w:pStyle w:val="Heading2"/>
        <w:spacing w:line="360" w:lineRule="auto"/>
      </w:pPr>
      <w:bookmarkStart w:id="16" w:name="_Toc473385529"/>
    </w:p>
    <w:p w14:paraId="5608BA1E" w14:textId="05E2A53A" w:rsidR="002454DD" w:rsidRPr="00235690" w:rsidRDefault="001E2CD3" w:rsidP="00235690">
      <w:pPr>
        <w:pStyle w:val="Heading2"/>
        <w:spacing w:line="360" w:lineRule="auto"/>
      </w:pPr>
      <w:r w:rsidRPr="00235690">
        <w:t>The total lifecycle deficit: Europe as a child-oriented continent</w:t>
      </w:r>
      <w:bookmarkEnd w:id="16"/>
    </w:p>
    <w:p w14:paraId="78295EB8" w14:textId="2ED5250F" w:rsidR="001E2899" w:rsidRPr="00235690" w:rsidRDefault="00F1455F" w:rsidP="00235690">
      <w:pPr>
        <w:spacing w:line="360" w:lineRule="auto"/>
        <w:ind w:firstLine="0"/>
      </w:pPr>
      <w:r w:rsidRPr="00235690">
        <w:t>P</w:t>
      </w:r>
      <w:r w:rsidR="00286D91" w:rsidRPr="00235690">
        <w:t>anel C of Figure 1 combines net public transfers with LCD and net time transfers</w:t>
      </w:r>
      <w:r w:rsidRPr="00235690">
        <w:t xml:space="preserve"> to produce the fullest </w:t>
      </w:r>
      <w:r w:rsidR="00286D91" w:rsidRPr="00235690">
        <w:t xml:space="preserve">description of </w:t>
      </w:r>
      <w:r w:rsidR="00CD3AD3" w:rsidRPr="00235690">
        <w:t>intergenerational transfers</w:t>
      </w:r>
      <w:r w:rsidR="00286D91" w:rsidRPr="00235690">
        <w:t>. We call this combin</w:t>
      </w:r>
      <w:r w:rsidR="00484A2E" w:rsidRPr="00235690">
        <w:t xml:space="preserve">ed picture </w:t>
      </w:r>
      <w:r w:rsidR="00286D91" w:rsidRPr="00235690">
        <w:t xml:space="preserve">the </w:t>
      </w:r>
      <w:r w:rsidR="00286D91" w:rsidRPr="00235690">
        <w:rPr>
          <w:i/>
        </w:rPr>
        <w:t>total lifecycle deficit</w:t>
      </w:r>
      <w:r w:rsidR="00955FCA" w:rsidRPr="00235690">
        <w:t xml:space="preserve"> (henceforth TLCD)</w:t>
      </w:r>
      <w:r w:rsidRPr="00235690">
        <w:t>. A</w:t>
      </w:r>
      <w:r w:rsidR="00286D91" w:rsidRPr="00235690">
        <w:t xml:space="preserve">ll </w:t>
      </w:r>
      <w:r w:rsidRPr="00235690">
        <w:t xml:space="preserve">three transfer types combined, </w:t>
      </w:r>
      <w:r w:rsidR="00286D91" w:rsidRPr="00235690">
        <w:t>children between birth and age 9 receive between 139 and 96</w:t>
      </w:r>
      <w:r w:rsidR="00CD3AD3" w:rsidRPr="00235690">
        <w:t xml:space="preserve"> per</w:t>
      </w:r>
      <w:r w:rsidR="00760BFF" w:rsidRPr="00235690">
        <w:t>cent</w:t>
      </w:r>
      <w:r w:rsidR="00286D91" w:rsidRPr="00235690">
        <w:t xml:space="preserve"> of per capita </w:t>
      </w:r>
      <w:r w:rsidR="00B96FAE" w:rsidRPr="00235690">
        <w:t>labour</w:t>
      </w:r>
      <w:r w:rsidR="00286D91" w:rsidRPr="00235690">
        <w:t xml:space="preserve"> income in their country</w:t>
      </w:r>
      <w:r w:rsidRPr="00235690">
        <w:t>. This is</w:t>
      </w:r>
      <w:r w:rsidR="00A144D8" w:rsidRPr="00235690">
        <w:t xml:space="preserve"> </w:t>
      </w:r>
      <w:r w:rsidR="00286D91" w:rsidRPr="00235690">
        <w:t>mo</w:t>
      </w:r>
      <w:r w:rsidR="00484A2E" w:rsidRPr="00235690">
        <w:t>re than even the very oldest</w:t>
      </w:r>
      <w:r w:rsidR="00286D91" w:rsidRPr="00235690">
        <w:t xml:space="preserve"> receive </w:t>
      </w:r>
      <w:r w:rsidRPr="00235690">
        <w:t xml:space="preserve">- </w:t>
      </w:r>
      <w:r w:rsidR="00286D91" w:rsidRPr="00235690">
        <w:t>those aged 90 and above</w:t>
      </w:r>
      <w:r w:rsidR="00A144D8" w:rsidRPr="00235690">
        <w:t>. And ri</w:t>
      </w:r>
      <w:r w:rsidR="00286D91" w:rsidRPr="00235690">
        <w:t xml:space="preserve">ght until </w:t>
      </w:r>
      <w:r w:rsidR="00484A2E" w:rsidRPr="00235690">
        <w:t>s/he</w:t>
      </w:r>
      <w:r w:rsidR="00286D91" w:rsidRPr="00235690">
        <w:t xml:space="preserve"> reaches </w:t>
      </w:r>
      <w:r w:rsidR="00A108DB" w:rsidRPr="00235690">
        <w:t xml:space="preserve">legal adulthood and </w:t>
      </w:r>
      <w:r w:rsidR="00286D91" w:rsidRPr="00235690">
        <w:t>vo</w:t>
      </w:r>
      <w:r w:rsidR="00484A2E" w:rsidRPr="00235690">
        <w:t>ting age (typically 18)</w:t>
      </w:r>
      <w:r w:rsidR="00286D91" w:rsidRPr="00235690">
        <w:t>, an average Europe</w:t>
      </w:r>
      <w:r w:rsidR="00625D1F" w:rsidRPr="00235690">
        <w:t>an child</w:t>
      </w:r>
      <w:r w:rsidR="00286D91" w:rsidRPr="00235690">
        <w:t xml:space="preserve"> </w:t>
      </w:r>
      <w:r w:rsidR="00A144D8" w:rsidRPr="00235690">
        <w:t xml:space="preserve">still </w:t>
      </w:r>
      <w:r w:rsidRPr="00235690">
        <w:t xml:space="preserve">continues to receive more </w:t>
      </w:r>
      <w:r w:rsidR="00286D91" w:rsidRPr="00235690">
        <w:t xml:space="preserve">resources than an average </w:t>
      </w:r>
      <w:r w:rsidR="00F311BE" w:rsidRPr="00235690">
        <w:t>older</w:t>
      </w:r>
      <w:r w:rsidR="00625D1F" w:rsidRPr="00235690">
        <w:t xml:space="preserve"> person</w:t>
      </w:r>
      <w:r w:rsidR="00286D91" w:rsidRPr="00235690">
        <w:t xml:space="preserve"> </w:t>
      </w:r>
      <w:r w:rsidR="00484A2E" w:rsidRPr="00235690">
        <w:t>up until age</w:t>
      </w:r>
      <w:r w:rsidR="00286D91" w:rsidRPr="00235690">
        <w:t xml:space="preserve"> 72. Young Europeans still receive more than 75</w:t>
      </w:r>
      <w:r w:rsidR="00CD3AD3" w:rsidRPr="00235690">
        <w:t xml:space="preserve"> per</w:t>
      </w:r>
      <w:r w:rsidR="00760BFF" w:rsidRPr="00235690">
        <w:t>cent</w:t>
      </w:r>
      <w:r w:rsidR="00286D91" w:rsidRPr="00235690">
        <w:t xml:space="preserve"> of per capita prime-age </w:t>
      </w:r>
      <w:r w:rsidR="00B96FAE" w:rsidRPr="00235690">
        <w:t>labour</w:t>
      </w:r>
      <w:r w:rsidR="00286D91" w:rsidRPr="00235690">
        <w:t xml:space="preserve"> income in total resources right until they reach age 17. </w:t>
      </w:r>
      <w:r w:rsidR="00F311BE" w:rsidRPr="00235690">
        <w:t>Older</w:t>
      </w:r>
      <w:r w:rsidR="00286D91" w:rsidRPr="00235690">
        <w:t xml:space="preserve"> Europeans, however, start receiving the same share only after they reach age 80.</w:t>
      </w:r>
      <w:r w:rsidR="000C0415" w:rsidRPr="00235690">
        <w:t xml:space="preserve"> Defined by resource dependency, childhood lasts on average until age 25 in Europe. Even in countries with a small higher education sector this demarcation age is still surprisingly high. It takes years in every type of economy to reach a sufficient level of labour efficiency that would compensate for increasing consumption. Young adults cost a lot and their output is limited in the first years of their career.</w:t>
      </w:r>
    </w:p>
    <w:p w14:paraId="6EDF84C7" w14:textId="77777777" w:rsidR="00CE301D" w:rsidRPr="00235690" w:rsidRDefault="00CE301D" w:rsidP="00235690">
      <w:pPr>
        <w:spacing w:line="360" w:lineRule="auto"/>
      </w:pPr>
    </w:p>
    <w:p w14:paraId="56C1CB05" w14:textId="6E7C3E5A" w:rsidR="00CE301D" w:rsidRPr="00235690" w:rsidRDefault="00BF5B91" w:rsidP="00235690">
      <w:pPr>
        <w:spacing w:line="360" w:lineRule="auto"/>
        <w:ind w:firstLine="0"/>
      </w:pPr>
      <w:r w:rsidRPr="00235690">
        <w:lastRenderedPageBreak/>
        <w:t>Table 1 here</w:t>
      </w:r>
    </w:p>
    <w:p w14:paraId="33EF9D61" w14:textId="77777777" w:rsidR="00BF5B91" w:rsidRPr="00235690" w:rsidRDefault="00BF5B91" w:rsidP="00235690">
      <w:pPr>
        <w:spacing w:line="360" w:lineRule="auto"/>
      </w:pPr>
    </w:p>
    <w:p w14:paraId="0EFDF56C" w14:textId="5276022C" w:rsidR="00CE301D" w:rsidRPr="00235690" w:rsidRDefault="002454DD" w:rsidP="00235690">
      <w:pPr>
        <w:spacing w:line="360" w:lineRule="auto"/>
      </w:pPr>
      <w:r w:rsidRPr="00235690">
        <w:t xml:space="preserve">Table 1 contains the per capita values of the full transfer package in terms of prime-age labour income by transfer type flowing to children and </w:t>
      </w:r>
      <w:r w:rsidR="00F311BE" w:rsidRPr="00235690">
        <w:t>older persons</w:t>
      </w:r>
      <w:r w:rsidRPr="00235690">
        <w:t>. The bottom row shows the child/elderl</w:t>
      </w:r>
      <w:r w:rsidR="00F1455F" w:rsidRPr="00235690">
        <w:t>y transfer ratio. In line with p</w:t>
      </w:r>
      <w:r w:rsidRPr="00235690">
        <w:t xml:space="preserve">ro-elderly welfare </w:t>
      </w:r>
      <w:r w:rsidR="00F1455F" w:rsidRPr="00235690">
        <w:t>studies</w:t>
      </w:r>
      <w:r w:rsidRPr="00235690">
        <w:t xml:space="preserve"> (</w:t>
      </w:r>
      <w:r w:rsidR="00154FBE" w:rsidRPr="00235690">
        <w:t xml:space="preserve">Lynch 2006; Tepe and Vanhuysse 2010; </w:t>
      </w:r>
      <w:r w:rsidRPr="00235690">
        <w:t xml:space="preserve">Vanhuysse 2013), </w:t>
      </w:r>
      <w:r w:rsidR="00F311BE" w:rsidRPr="00235690">
        <w:t>older persons</w:t>
      </w:r>
      <w:r w:rsidRPr="00235690">
        <w:t xml:space="preserve"> receive more than twice as much in net public transfers than children</w:t>
      </w:r>
      <w:r w:rsidR="00F1455F" w:rsidRPr="00235690">
        <w:t xml:space="preserve">: </w:t>
      </w:r>
      <w:r w:rsidRPr="00235690">
        <w:t xml:space="preserve">37 percent of the average </w:t>
      </w:r>
      <w:proofErr w:type="spellStart"/>
      <w:r w:rsidRPr="00235690">
        <w:t>prime</w:t>
      </w:r>
      <w:proofErr w:type="spellEnd"/>
      <w:r w:rsidRPr="00235690">
        <w:t>-earnings income</w:t>
      </w:r>
      <w:r w:rsidR="00125A73" w:rsidRPr="00235690">
        <w:t xml:space="preserve">, </w:t>
      </w:r>
      <w:r w:rsidRPr="00235690">
        <w:t xml:space="preserve">compared </w:t>
      </w:r>
      <w:r w:rsidR="00125A73" w:rsidRPr="00235690">
        <w:t>to</w:t>
      </w:r>
      <w:r w:rsidR="00F1455F" w:rsidRPr="00235690">
        <w:t xml:space="preserve"> 15 percent</w:t>
      </w:r>
      <w:r w:rsidRPr="00235690">
        <w:t xml:space="preserve">. But limiting the analysis of intergenerational resource transfers to public transfers </w:t>
      </w:r>
      <w:r w:rsidR="00A144D8" w:rsidRPr="00235690">
        <w:t xml:space="preserve">alone </w:t>
      </w:r>
      <w:r w:rsidRPr="00235690">
        <w:t>seriously misinforms about actu</w:t>
      </w:r>
      <w:r w:rsidR="00F1455F" w:rsidRPr="00235690">
        <w:t>al resources received during resource-</w:t>
      </w:r>
      <w:r w:rsidRPr="00235690">
        <w:t>dependent life stages. If private, mostly intra-household, transfers are also taken into account, the pictu</w:t>
      </w:r>
      <w:r w:rsidR="00F1455F" w:rsidRPr="00235690">
        <w:t>re changes</w:t>
      </w:r>
      <w:r w:rsidRPr="00235690">
        <w:t xml:space="preserve">. The combined public-private </w:t>
      </w:r>
      <w:r w:rsidR="006A3B44" w:rsidRPr="00235690">
        <w:t xml:space="preserve">spheres </w:t>
      </w:r>
      <w:r w:rsidRPr="00235690">
        <w:t xml:space="preserve">transfer package of children </w:t>
      </w:r>
      <w:r w:rsidR="00154FBE" w:rsidRPr="00235690">
        <w:t xml:space="preserve">(39 percent) </w:t>
      </w:r>
      <w:r w:rsidRPr="00235690">
        <w:t xml:space="preserve">is </w:t>
      </w:r>
      <w:r w:rsidR="00154FBE" w:rsidRPr="00235690">
        <w:t xml:space="preserve">slightly </w:t>
      </w:r>
      <w:r w:rsidRPr="00235690">
        <w:t xml:space="preserve">larger than that of </w:t>
      </w:r>
      <w:r w:rsidR="00F311BE" w:rsidRPr="00235690">
        <w:t>older persons</w:t>
      </w:r>
      <w:r w:rsidR="00154FBE" w:rsidRPr="00235690">
        <w:t xml:space="preserve"> (</w:t>
      </w:r>
      <w:r w:rsidRPr="00235690">
        <w:t>34</w:t>
      </w:r>
      <w:r w:rsidR="00154FBE" w:rsidRPr="00235690">
        <w:t xml:space="preserve"> per</w:t>
      </w:r>
      <w:r w:rsidRPr="00235690">
        <w:t>cent</w:t>
      </w:r>
      <w:r w:rsidR="00154FBE" w:rsidRPr="00235690">
        <w:t>)</w:t>
      </w:r>
      <w:r w:rsidRPr="00235690">
        <w:t xml:space="preserve">. </w:t>
      </w:r>
    </w:p>
    <w:p w14:paraId="5C318593" w14:textId="57202E91" w:rsidR="005D5566" w:rsidRPr="00235690" w:rsidRDefault="006A3B44" w:rsidP="00235690">
      <w:pPr>
        <w:spacing w:line="360" w:lineRule="auto"/>
      </w:pPr>
      <w:r w:rsidRPr="00235690">
        <w:t>And most</w:t>
      </w:r>
      <w:r w:rsidR="002454DD" w:rsidRPr="00235690">
        <w:t xml:space="preserve"> importantly, if in a third step we add transfers of unpaid labour, the original proportions are </w:t>
      </w:r>
      <w:r w:rsidR="002454DD" w:rsidRPr="00235690">
        <w:rPr>
          <w:i/>
        </w:rPr>
        <w:t>inverted</w:t>
      </w:r>
      <w:r w:rsidR="002454DD" w:rsidRPr="00235690">
        <w:t>. The child</w:t>
      </w:r>
      <w:r w:rsidR="00FD0DDB" w:rsidRPr="00235690">
        <w:t>ren</w:t>
      </w:r>
      <w:r w:rsidR="002454DD" w:rsidRPr="00235690">
        <w:t>/elderly transfer ratio jum</w:t>
      </w:r>
      <w:r w:rsidR="00F1455F" w:rsidRPr="00235690">
        <w:t>ps from less than</w:t>
      </w:r>
      <w:r w:rsidR="005D5566" w:rsidRPr="00235690">
        <w:t xml:space="preserve"> half </w:t>
      </w:r>
      <w:r w:rsidR="00F1455F" w:rsidRPr="00235690">
        <w:t xml:space="preserve">in public transfers alone </w:t>
      </w:r>
      <w:r w:rsidR="005D5566" w:rsidRPr="00235690">
        <w:t>(0.</w:t>
      </w:r>
      <w:r w:rsidR="006341E7" w:rsidRPr="00235690">
        <w:t>39</w:t>
      </w:r>
      <w:r w:rsidR="005D5566" w:rsidRPr="00235690">
        <w:t>) to more th</w:t>
      </w:r>
      <w:r w:rsidR="006341E7" w:rsidRPr="00235690">
        <w:t xml:space="preserve">an double </w:t>
      </w:r>
      <w:r w:rsidR="00F1455F" w:rsidRPr="00235690">
        <w:t xml:space="preserve">all transfers combined </w:t>
      </w:r>
      <w:r w:rsidR="006341E7" w:rsidRPr="00235690">
        <w:t>(2.35</w:t>
      </w:r>
      <w:r w:rsidR="002454DD" w:rsidRPr="00235690">
        <w:t xml:space="preserve">). </w:t>
      </w:r>
      <w:r w:rsidR="00001153" w:rsidRPr="00235690">
        <w:t xml:space="preserve">The value of the full transfer package for a child is equivalent of 73 percent of annual per capita prime-age labour income, out of which only 15 percentage points flow through publicly recorded channels. In contrast, the public part of </w:t>
      </w:r>
      <w:r w:rsidR="00F311BE" w:rsidRPr="00235690">
        <w:t xml:space="preserve">older persons’ </w:t>
      </w:r>
      <w:r w:rsidR="00001153" w:rsidRPr="00235690">
        <w:t xml:space="preserve">package </w:t>
      </w:r>
      <w:r w:rsidR="00F311BE" w:rsidRPr="00235690">
        <w:t>is</w:t>
      </w:r>
      <w:r w:rsidR="00001153" w:rsidRPr="00235690">
        <w:t xml:space="preserve"> around 37 percent of prime-age labour income from society, which is reduced to 31 percent through </w:t>
      </w:r>
      <w:r w:rsidR="00F311BE" w:rsidRPr="00235690">
        <w:t xml:space="preserve">the </w:t>
      </w:r>
      <w:r w:rsidR="00001153" w:rsidRPr="00235690">
        <w:t xml:space="preserve">private transfers in cash and time </w:t>
      </w:r>
      <w:r w:rsidR="00F311BE" w:rsidRPr="00235690">
        <w:t xml:space="preserve">they </w:t>
      </w:r>
      <w:r w:rsidR="00001153" w:rsidRPr="00235690">
        <w:t xml:space="preserve">provide. </w:t>
      </w:r>
      <w:r w:rsidR="005D5566" w:rsidRPr="00235690">
        <w:t xml:space="preserve">In short, despite </w:t>
      </w:r>
      <w:r w:rsidR="00E3627B" w:rsidRPr="00235690">
        <w:t xml:space="preserve">recent </w:t>
      </w:r>
      <w:r w:rsidR="005D5566" w:rsidRPr="00235690">
        <w:t>shift</w:t>
      </w:r>
      <w:r w:rsidR="00E3627B" w:rsidRPr="00235690">
        <w:t>s</w:t>
      </w:r>
      <w:r w:rsidR="005D5566" w:rsidRPr="00235690">
        <w:t xml:space="preserve"> </w:t>
      </w:r>
      <w:r w:rsidR="006341E7" w:rsidRPr="00235690">
        <w:t xml:space="preserve">from passive </w:t>
      </w:r>
      <w:r w:rsidR="00086D44" w:rsidRPr="00235690">
        <w:t xml:space="preserve">and/or curative </w:t>
      </w:r>
      <w:r w:rsidR="006341E7" w:rsidRPr="00235690">
        <w:t xml:space="preserve">forms of welfare </w:t>
      </w:r>
      <w:r w:rsidR="005D5566" w:rsidRPr="00235690">
        <w:t>to</w:t>
      </w:r>
      <w:r w:rsidR="00086D44" w:rsidRPr="00235690">
        <w:t>ward</w:t>
      </w:r>
      <w:r w:rsidR="005D5566" w:rsidRPr="00235690">
        <w:t xml:space="preserve"> social investments</w:t>
      </w:r>
      <w:r w:rsidR="00086D44" w:rsidRPr="00235690">
        <w:t>,</w:t>
      </w:r>
      <w:r w:rsidR="00CB01F4" w:rsidRPr="00235690">
        <w:t xml:space="preserve"> </w:t>
      </w:r>
      <w:r w:rsidR="005D4F54" w:rsidRPr="00235690">
        <w:t>welfare state</w:t>
      </w:r>
      <w:r w:rsidR="00086D44" w:rsidRPr="00235690">
        <w:t>s are</w:t>
      </w:r>
      <w:r w:rsidR="005D4F54" w:rsidRPr="00235690">
        <w:t xml:space="preserve"> still </w:t>
      </w:r>
      <w:r w:rsidR="005C00AE" w:rsidRPr="00235690">
        <w:t xml:space="preserve">very much geared toward </w:t>
      </w:r>
      <w:r w:rsidR="005D4F54" w:rsidRPr="00235690">
        <w:t xml:space="preserve">paying </w:t>
      </w:r>
      <w:r w:rsidR="005C00AE" w:rsidRPr="00235690">
        <w:t xml:space="preserve">passive benefits </w:t>
      </w:r>
      <w:r w:rsidR="006341E7" w:rsidRPr="00235690">
        <w:t>in old age</w:t>
      </w:r>
      <w:r w:rsidR="005D4F54" w:rsidRPr="00235690">
        <w:t>. The main invest</w:t>
      </w:r>
      <w:r w:rsidR="00E3627B" w:rsidRPr="00235690">
        <w:t>ment</w:t>
      </w:r>
      <w:r w:rsidR="005D4F54" w:rsidRPr="00235690">
        <w:t xml:space="preserve"> </w:t>
      </w:r>
      <w:r w:rsidR="00E3627B" w:rsidRPr="00235690">
        <w:t xml:space="preserve">during </w:t>
      </w:r>
      <w:r w:rsidR="006341E7" w:rsidRPr="00235690">
        <w:t xml:space="preserve">childhood </w:t>
      </w:r>
      <w:r w:rsidR="005D4F54" w:rsidRPr="00235690">
        <w:t xml:space="preserve">is </w:t>
      </w:r>
      <w:r w:rsidR="00E3627B" w:rsidRPr="00235690">
        <w:t xml:space="preserve">by </w:t>
      </w:r>
      <w:r w:rsidR="005D4F54" w:rsidRPr="00235690">
        <w:t>households.</w:t>
      </w:r>
    </w:p>
    <w:p w14:paraId="0A0A68C2" w14:textId="2484EF9F" w:rsidR="00A67AA2" w:rsidRPr="00235690" w:rsidRDefault="00955FCA" w:rsidP="00235690">
      <w:pPr>
        <w:spacing w:line="360" w:lineRule="auto"/>
      </w:pPr>
      <w:r w:rsidRPr="00235690">
        <w:t xml:space="preserve">Although public policies transfer more resources to the old and very old, once households are taken into account Europe </w:t>
      </w:r>
      <w:r w:rsidR="00F1455F" w:rsidRPr="00235690">
        <w:t xml:space="preserve">thus </w:t>
      </w:r>
      <w:r w:rsidRPr="00235690">
        <w:t xml:space="preserve">emerges as a </w:t>
      </w:r>
      <w:r w:rsidRPr="00235690">
        <w:rPr>
          <w:i/>
        </w:rPr>
        <w:t>child-oriented</w:t>
      </w:r>
      <w:r w:rsidRPr="00235690">
        <w:t xml:space="preserve"> continent.</w:t>
      </w:r>
      <w:r w:rsidR="00001153" w:rsidRPr="00235690">
        <w:t xml:space="preserve"> </w:t>
      </w:r>
      <w:r w:rsidR="00A67AA2" w:rsidRPr="00235690">
        <w:t>T</w:t>
      </w:r>
      <w:r w:rsidR="00A42006" w:rsidRPr="00235690">
        <w:t xml:space="preserve">his message holds universally. </w:t>
      </w:r>
      <w:r w:rsidR="00A67AA2" w:rsidRPr="00235690">
        <w:t>A</w:t>
      </w:r>
      <w:r w:rsidR="00FD0DDB" w:rsidRPr="00235690">
        <w:t>s Table 2 shows,</w:t>
      </w:r>
      <w:r w:rsidR="00A42006" w:rsidRPr="00235690">
        <w:t xml:space="preserve"> children receive more overall </w:t>
      </w:r>
      <w:r w:rsidR="00FD0DDB" w:rsidRPr="00235690">
        <w:t xml:space="preserve">per capita </w:t>
      </w:r>
      <w:r w:rsidR="00A42006" w:rsidRPr="00235690">
        <w:t>t</w:t>
      </w:r>
      <w:r w:rsidR="005C00AE" w:rsidRPr="00235690">
        <w:t>ransfers than older persons</w:t>
      </w:r>
      <w:r w:rsidR="00A42006" w:rsidRPr="00235690">
        <w:t xml:space="preserve"> in </w:t>
      </w:r>
      <w:r w:rsidR="00A13B40" w:rsidRPr="00235690">
        <w:t xml:space="preserve">every one </w:t>
      </w:r>
      <w:r w:rsidR="00A42006" w:rsidRPr="00235690">
        <w:t xml:space="preserve">of </w:t>
      </w:r>
      <w:r w:rsidR="00F1455F" w:rsidRPr="00235690">
        <w:t>our</w:t>
      </w:r>
      <w:r w:rsidR="00CE301D" w:rsidRPr="00235690">
        <w:t xml:space="preserve"> ten countries</w:t>
      </w:r>
      <w:r w:rsidR="00A42006" w:rsidRPr="00235690">
        <w:t xml:space="preserve">. </w:t>
      </w:r>
      <w:r w:rsidR="00A144D8" w:rsidRPr="00235690">
        <w:t xml:space="preserve">Of course, </w:t>
      </w:r>
      <w:r w:rsidR="00001153" w:rsidRPr="00235690">
        <w:t xml:space="preserve">countries </w:t>
      </w:r>
      <w:r w:rsidR="00A144D8" w:rsidRPr="00235690">
        <w:t>differ significantly in how they complement, assist, or crowd out working-age citizens in caring for dependents</w:t>
      </w:r>
      <w:r w:rsidR="00001153" w:rsidRPr="00235690">
        <w:t>, although not always neatly along welfare regime type lines</w:t>
      </w:r>
      <w:r w:rsidR="00A144D8" w:rsidRPr="00235690">
        <w:t xml:space="preserve">. </w:t>
      </w:r>
      <w:r w:rsidR="00FD0DDB" w:rsidRPr="00235690">
        <w:t xml:space="preserve">The children/elderly transfer ratio ranges from a minimum of 1.29 in Hungary </w:t>
      </w:r>
      <w:r w:rsidR="006E4E8D" w:rsidRPr="00235690">
        <w:t xml:space="preserve">(a post-communist regime) </w:t>
      </w:r>
      <w:r w:rsidR="00FD0DDB" w:rsidRPr="00235690">
        <w:t xml:space="preserve">and 1.31 in Finland </w:t>
      </w:r>
      <w:r w:rsidR="006E4E8D" w:rsidRPr="00235690">
        <w:t>(a Nordic regime)</w:t>
      </w:r>
      <w:r w:rsidRPr="00235690">
        <w:t>,</w:t>
      </w:r>
      <w:r w:rsidR="006E4E8D" w:rsidRPr="00235690">
        <w:t xml:space="preserve"> </w:t>
      </w:r>
      <w:r w:rsidR="003F0A7E" w:rsidRPr="00235690">
        <w:t>to a maximum of 3.58</w:t>
      </w:r>
      <w:r w:rsidR="00FD0DDB" w:rsidRPr="00235690">
        <w:t xml:space="preserve"> in the UK </w:t>
      </w:r>
      <w:r w:rsidR="006E4E8D" w:rsidRPr="00235690">
        <w:t xml:space="preserve">(an Anglo-Saxon regime) </w:t>
      </w:r>
      <w:r w:rsidR="00FD0DDB" w:rsidRPr="00235690">
        <w:t>and 4.64 in Spain</w:t>
      </w:r>
      <w:r w:rsidR="006E4E8D" w:rsidRPr="00235690">
        <w:t xml:space="preserve"> (a Southern regime)</w:t>
      </w:r>
      <w:r w:rsidR="00FD0DDB" w:rsidRPr="00235690">
        <w:t xml:space="preserve">. </w:t>
      </w:r>
      <w:r w:rsidRPr="00235690">
        <w:t>But the latter two countries are also the meanest welfare states</w:t>
      </w:r>
      <w:r w:rsidR="006E4E8D" w:rsidRPr="00235690">
        <w:t>. The</w:t>
      </w:r>
      <w:r w:rsidR="00A67AA2" w:rsidRPr="00235690">
        <w:t xml:space="preserve">y </w:t>
      </w:r>
      <w:r w:rsidR="006E4E8D" w:rsidRPr="00235690">
        <w:t xml:space="preserve">transfer comparatively few public resources both to </w:t>
      </w:r>
      <w:r w:rsidR="005C00AE" w:rsidRPr="00235690">
        <w:t>older persons</w:t>
      </w:r>
      <w:r w:rsidR="006E4E8D" w:rsidRPr="00235690">
        <w:t xml:space="preserve"> (</w:t>
      </w:r>
      <w:r w:rsidR="00A67AA2" w:rsidRPr="00235690">
        <w:t xml:space="preserve">respectively </w:t>
      </w:r>
      <w:r w:rsidR="006E4E8D" w:rsidRPr="00235690">
        <w:t>24 and 22 percent</w:t>
      </w:r>
      <w:r w:rsidR="00A67AA2" w:rsidRPr="00235690">
        <w:t xml:space="preserve"> of prime-age earnings</w:t>
      </w:r>
      <w:r w:rsidR="006E4E8D" w:rsidRPr="00235690">
        <w:t xml:space="preserve">) and to children (6 and 12 percent). </w:t>
      </w:r>
      <w:r w:rsidR="00001153" w:rsidRPr="00235690">
        <w:t>And</w:t>
      </w:r>
      <w:r w:rsidR="006E4E8D" w:rsidRPr="00235690">
        <w:t xml:space="preserve"> </w:t>
      </w:r>
      <w:r w:rsidR="00A67AA2" w:rsidRPr="00235690">
        <w:t xml:space="preserve">while </w:t>
      </w:r>
      <w:r w:rsidR="00001153" w:rsidRPr="00235690">
        <w:t xml:space="preserve">Spanish and British </w:t>
      </w:r>
      <w:r w:rsidR="00A67AA2" w:rsidRPr="00235690">
        <w:t xml:space="preserve">families do not privately compensate for meagre state transfers going to </w:t>
      </w:r>
      <w:r w:rsidR="005C00AE" w:rsidRPr="00235690">
        <w:t>older persons</w:t>
      </w:r>
      <w:r w:rsidR="00A67AA2" w:rsidRPr="00235690">
        <w:t xml:space="preserve">, </w:t>
      </w:r>
      <w:r w:rsidR="00A67AA2" w:rsidRPr="00235690">
        <w:lastRenderedPageBreak/>
        <w:t xml:space="preserve">they do </w:t>
      </w:r>
      <w:r w:rsidR="006E4E8D" w:rsidRPr="00235690">
        <w:t>step in when it comes to children, with transfers of private resources (27 and 29 percent) and time resources (32 and 31 percent)</w:t>
      </w:r>
      <w:r w:rsidR="00E00112" w:rsidRPr="00235690">
        <w:t xml:space="preserve"> – a </w:t>
      </w:r>
      <w:r w:rsidR="00363CC4" w:rsidRPr="00235690">
        <w:t xml:space="preserve">likely </w:t>
      </w:r>
      <w:r w:rsidR="00E00112" w:rsidRPr="00235690">
        <w:t xml:space="preserve">case of forced downward </w:t>
      </w:r>
      <w:proofErr w:type="spellStart"/>
      <w:r w:rsidR="00E00112" w:rsidRPr="00235690">
        <w:t>familialism</w:t>
      </w:r>
      <w:proofErr w:type="spellEnd"/>
      <w:r w:rsidR="006E4E8D" w:rsidRPr="00235690">
        <w:t xml:space="preserve">. </w:t>
      </w:r>
    </w:p>
    <w:p w14:paraId="1249BF9F" w14:textId="1BF7488C" w:rsidR="00955FCA" w:rsidRPr="00235690" w:rsidRDefault="00955FCA" w:rsidP="00235690">
      <w:pPr>
        <w:spacing w:line="360" w:lineRule="auto"/>
        <w:ind w:firstLine="0"/>
      </w:pPr>
    </w:p>
    <w:p w14:paraId="3248EA17" w14:textId="37B6297D" w:rsidR="00955FCA" w:rsidRPr="00235690" w:rsidRDefault="00D32F31" w:rsidP="00235690">
      <w:pPr>
        <w:spacing w:line="360" w:lineRule="auto"/>
        <w:ind w:firstLine="0"/>
      </w:pPr>
      <w:r w:rsidRPr="00235690">
        <w:t>Table 2 here</w:t>
      </w:r>
    </w:p>
    <w:p w14:paraId="26873444" w14:textId="77777777" w:rsidR="00D32F31" w:rsidRPr="00235690" w:rsidRDefault="00D32F31" w:rsidP="00235690">
      <w:pPr>
        <w:spacing w:line="360" w:lineRule="auto"/>
        <w:ind w:firstLine="0"/>
      </w:pPr>
    </w:p>
    <w:p w14:paraId="01208606" w14:textId="3B33C438" w:rsidR="00A42006" w:rsidRPr="00235690" w:rsidRDefault="00125A73" w:rsidP="00235690">
      <w:pPr>
        <w:spacing w:line="360" w:lineRule="auto"/>
      </w:pPr>
      <w:r w:rsidRPr="00235690">
        <w:t xml:space="preserve">Within Europe, public transfers for children are highest in France and both Nordic countries (21 percent). But whereas Finland and Sweden are also the two highest-spending welfare states for </w:t>
      </w:r>
      <w:r w:rsidR="005C00AE" w:rsidRPr="00235690">
        <w:t>older persons</w:t>
      </w:r>
      <w:r w:rsidRPr="00235690">
        <w:t xml:space="preserve"> (50 and 64 percent), France is only an average spender in this respect (39 percent). </w:t>
      </w:r>
      <w:r w:rsidR="00001153" w:rsidRPr="00235690">
        <w:t>Not surprisingly, p</w:t>
      </w:r>
      <w:r w:rsidR="00A67AA2" w:rsidRPr="00235690">
        <w:t xml:space="preserve">ublic transfers in Italy, a notoriously pro-elderly biased welfare state, are around the European average for children (16 percent of prime-age earnings) </w:t>
      </w:r>
      <w:r w:rsidR="00955FCA" w:rsidRPr="00235690">
        <w:t xml:space="preserve">but much above it </w:t>
      </w:r>
      <w:r w:rsidR="00A67AA2" w:rsidRPr="00235690">
        <w:t xml:space="preserve">for </w:t>
      </w:r>
      <w:r w:rsidR="005C00AE" w:rsidRPr="00235690">
        <w:t>older persons</w:t>
      </w:r>
      <w:r w:rsidR="00A67AA2" w:rsidRPr="00235690">
        <w:t xml:space="preserve"> (48 percent). But, in another likely case of forced </w:t>
      </w:r>
      <w:proofErr w:type="spellStart"/>
      <w:r w:rsidR="00A67AA2" w:rsidRPr="00235690">
        <w:t>familialism</w:t>
      </w:r>
      <w:proofErr w:type="spellEnd"/>
      <w:r w:rsidR="00A67AA2" w:rsidRPr="00235690">
        <w:t xml:space="preserve">, Italy leads the way in Europe in terms </w:t>
      </w:r>
      <w:r w:rsidR="00001153" w:rsidRPr="00235690">
        <w:t>of both the financial resources</w:t>
      </w:r>
      <w:r w:rsidR="00A67AA2" w:rsidRPr="00235690">
        <w:t xml:space="preserve"> and the time resources </w:t>
      </w:r>
      <w:r w:rsidR="00001153" w:rsidRPr="00235690">
        <w:t>spent by fa</w:t>
      </w:r>
      <w:r w:rsidR="00E00112" w:rsidRPr="00235690">
        <w:t xml:space="preserve">milies for their children. It </w:t>
      </w:r>
      <w:r w:rsidR="00001153" w:rsidRPr="00235690">
        <w:t xml:space="preserve">stands out </w:t>
      </w:r>
      <w:r w:rsidR="00363CC4" w:rsidRPr="00235690">
        <w:t>markedly</w:t>
      </w:r>
      <w:r w:rsidR="00001153" w:rsidRPr="00235690">
        <w:t xml:space="preserve"> in the latter respect</w:t>
      </w:r>
      <w:r w:rsidR="00E00112" w:rsidRPr="00235690">
        <w:t>. A</w:t>
      </w:r>
      <w:r w:rsidR="00A67AA2" w:rsidRPr="00235690">
        <w:t xml:space="preserve"> </w:t>
      </w:r>
      <w:r w:rsidR="00363CC4" w:rsidRPr="00235690">
        <w:t>staggering</w:t>
      </w:r>
      <w:r w:rsidR="00E00112" w:rsidRPr="00235690">
        <w:t xml:space="preserve"> one-half</w:t>
      </w:r>
      <w:r w:rsidR="00001153" w:rsidRPr="00235690">
        <w:t xml:space="preserve"> of prime-age earnings </w:t>
      </w:r>
      <w:proofErr w:type="gramStart"/>
      <w:r w:rsidR="00001153" w:rsidRPr="00235690">
        <w:t>is</w:t>
      </w:r>
      <w:proofErr w:type="gramEnd"/>
      <w:r w:rsidR="00001153" w:rsidRPr="00235690">
        <w:t xml:space="preserve"> devoted to time for </w:t>
      </w:r>
      <w:r w:rsidR="00363CC4" w:rsidRPr="00235690">
        <w:t xml:space="preserve">Italian </w:t>
      </w:r>
      <w:r w:rsidR="00001153" w:rsidRPr="00235690">
        <w:t>children</w:t>
      </w:r>
      <w:r w:rsidR="00363CC4" w:rsidRPr="00235690">
        <w:t>;</w:t>
      </w:r>
      <w:r w:rsidR="00E00112" w:rsidRPr="00235690">
        <w:t xml:space="preserve"> </w:t>
      </w:r>
      <w:r w:rsidR="00001153" w:rsidRPr="00235690">
        <w:t>much above the European average (34 percent), and twice as much as in Slovenia and Hungary</w:t>
      </w:r>
      <w:r w:rsidR="00A67AA2" w:rsidRPr="00235690">
        <w:t xml:space="preserve">. </w:t>
      </w:r>
    </w:p>
    <w:p w14:paraId="45C6BA82" w14:textId="27E4EEC8" w:rsidR="00914F7A" w:rsidRPr="00235690" w:rsidRDefault="008E1551" w:rsidP="00235690">
      <w:pPr>
        <w:pStyle w:val="Heading2"/>
        <w:spacing w:line="360" w:lineRule="auto"/>
      </w:pPr>
      <w:bookmarkStart w:id="17" w:name="_Toc470788394"/>
      <w:bookmarkStart w:id="18" w:name="_Toc470961220"/>
      <w:bookmarkStart w:id="19" w:name="_Toc473385530"/>
      <w:r w:rsidRPr="00235690">
        <w:t>Revisiting t</w:t>
      </w:r>
      <w:r w:rsidR="001E2CD3" w:rsidRPr="00235690">
        <w:t xml:space="preserve">he three channels for financing </w:t>
      </w:r>
      <w:r w:rsidRPr="00235690">
        <w:t>inter</w:t>
      </w:r>
      <w:r w:rsidR="001E2CD3" w:rsidRPr="00235690">
        <w:t>generational transfers</w:t>
      </w:r>
      <w:bookmarkEnd w:id="17"/>
      <w:bookmarkEnd w:id="18"/>
      <w:bookmarkEnd w:id="19"/>
    </w:p>
    <w:p w14:paraId="57D21BF2" w14:textId="3C9AFC19" w:rsidR="00286D91" w:rsidRPr="00235690" w:rsidRDefault="00955FCA" w:rsidP="00235690">
      <w:pPr>
        <w:spacing w:line="360" w:lineRule="auto"/>
        <w:ind w:firstLine="0"/>
      </w:pPr>
      <w:r w:rsidRPr="00235690">
        <w:t xml:space="preserve">The TLCD curve </w:t>
      </w:r>
      <w:r w:rsidR="00B23689" w:rsidRPr="00235690">
        <w:t xml:space="preserve">of Figure 1 </w:t>
      </w:r>
      <w:r w:rsidR="00286D91" w:rsidRPr="00235690">
        <w:t xml:space="preserve">reappears in </w:t>
      </w:r>
      <w:r w:rsidR="00B23689" w:rsidRPr="00235690">
        <w:t xml:space="preserve">Figure 2, where we show how </w:t>
      </w:r>
      <w:r w:rsidR="00286D91" w:rsidRPr="00235690">
        <w:t xml:space="preserve">the gap between consumption and production is financed through three </w:t>
      </w:r>
      <w:r w:rsidR="00585664" w:rsidRPr="00235690">
        <w:t>resource</w:t>
      </w:r>
      <w:r w:rsidR="00286D91" w:rsidRPr="00235690">
        <w:t xml:space="preserve"> channels: public transfers </w:t>
      </w:r>
      <w:r w:rsidR="00CD3AD3" w:rsidRPr="00235690">
        <w:t>(</w:t>
      </w:r>
      <w:r w:rsidR="00286D91" w:rsidRPr="00235690">
        <w:t>mediated by government, social s</w:t>
      </w:r>
      <w:r w:rsidR="00914F7A" w:rsidRPr="00235690">
        <w:t>ecurity or other public actors</w:t>
      </w:r>
      <w:r w:rsidR="00CD3AD3" w:rsidRPr="00235690">
        <w:t>),</w:t>
      </w:r>
      <w:r w:rsidR="00286D91" w:rsidRPr="00235690">
        <w:t xml:space="preserve"> private transfers </w:t>
      </w:r>
      <w:r w:rsidR="00CD3AD3" w:rsidRPr="00235690">
        <w:t>(</w:t>
      </w:r>
      <w:r w:rsidR="00286D91" w:rsidRPr="00235690">
        <w:t xml:space="preserve">within or between households, </w:t>
      </w:r>
      <w:r w:rsidR="00914F7A" w:rsidRPr="00235690">
        <w:t>overwhelmingly among relatives</w:t>
      </w:r>
      <w:r w:rsidR="00CD3AD3" w:rsidRPr="00235690">
        <w:t>),</w:t>
      </w:r>
      <w:r w:rsidR="00286D91" w:rsidRPr="00235690">
        <w:t xml:space="preserve"> and time transfers</w:t>
      </w:r>
      <w:r w:rsidR="00CD3AD3" w:rsidRPr="00235690">
        <w:t xml:space="preserve"> (</w:t>
      </w:r>
      <w:r w:rsidR="00914F7A" w:rsidRPr="00235690">
        <w:t xml:space="preserve">unpaid </w:t>
      </w:r>
      <w:r w:rsidR="004E2212" w:rsidRPr="00235690">
        <w:t xml:space="preserve">household </w:t>
      </w:r>
      <w:r w:rsidR="00B96FAE" w:rsidRPr="00235690">
        <w:t>labour</w:t>
      </w:r>
      <w:r w:rsidR="00CD3AD3" w:rsidRPr="00235690">
        <w:t>)</w:t>
      </w:r>
      <w:r w:rsidR="00286D91" w:rsidRPr="00235690">
        <w:t>.</w:t>
      </w:r>
      <w:r w:rsidR="00966B12" w:rsidRPr="00235690">
        <w:t xml:space="preserve"> Inflows and outflows of the various types are netted out. The enveloping curve of public transfers</w:t>
      </w:r>
      <w:r w:rsidR="00795984" w:rsidRPr="00235690">
        <w:t xml:space="preserve"> (including</w:t>
      </w:r>
      <w:r w:rsidR="00286D91" w:rsidRPr="00235690">
        <w:t xml:space="preserve"> taxes and subsidies on production, taxes on income and wealth, social contributions and be</w:t>
      </w:r>
      <w:r w:rsidR="00484A2E" w:rsidRPr="00235690">
        <w:t>nefits</w:t>
      </w:r>
      <w:r w:rsidR="00795984" w:rsidRPr="00235690">
        <w:t>)</w:t>
      </w:r>
      <w:r w:rsidR="00484A2E" w:rsidRPr="00235690">
        <w:t xml:space="preserve"> </w:t>
      </w:r>
      <w:r w:rsidR="004E2212" w:rsidRPr="00235690">
        <w:t>shows that p</w:t>
      </w:r>
      <w:r w:rsidR="00484A2E" w:rsidRPr="00235690">
        <w:t xml:space="preserve">ublic policies create </w:t>
      </w:r>
      <w:r w:rsidR="00286D91" w:rsidRPr="00235690">
        <w:t xml:space="preserve">pro-elderly </w:t>
      </w:r>
      <w:r w:rsidR="004E2212" w:rsidRPr="00235690">
        <w:t xml:space="preserve">biased </w:t>
      </w:r>
      <w:r w:rsidR="00484A2E" w:rsidRPr="00235690">
        <w:t xml:space="preserve">welfare </w:t>
      </w:r>
      <w:r w:rsidR="00484A2E" w:rsidRPr="00235690">
        <w:rPr>
          <w:i/>
        </w:rPr>
        <w:t>states</w:t>
      </w:r>
      <w:r w:rsidR="00484A2E" w:rsidRPr="00235690">
        <w:t>.</w:t>
      </w:r>
      <w:r w:rsidR="00286D91" w:rsidRPr="00235690">
        <w:t xml:space="preserve"> </w:t>
      </w:r>
      <w:r w:rsidR="00484A2E" w:rsidRPr="00235690">
        <w:t xml:space="preserve">Defined in terms of </w:t>
      </w:r>
      <w:r w:rsidR="00795984" w:rsidRPr="00235690">
        <w:t>public resource d</w:t>
      </w:r>
      <w:r w:rsidR="00484A2E" w:rsidRPr="00235690">
        <w:t xml:space="preserve">ependency, childhood lasts until age 21 and old age starts at age 60. </w:t>
      </w:r>
      <w:r w:rsidR="00286D91" w:rsidRPr="00235690">
        <w:t>The highest net public transfer in childhood is around age 12-13</w:t>
      </w:r>
      <w:r w:rsidR="005C00AE" w:rsidRPr="00235690">
        <w:t xml:space="preserve">, at </w:t>
      </w:r>
      <w:r w:rsidR="00286D91" w:rsidRPr="00235690">
        <w:t>less than one-quarter of</w:t>
      </w:r>
      <w:r w:rsidR="004E2212" w:rsidRPr="00235690">
        <w:t xml:space="preserve"> prime-age earnings.</w:t>
      </w:r>
      <w:r w:rsidR="00286D91" w:rsidRPr="00235690">
        <w:t xml:space="preserve"> Europeans aged </w:t>
      </w:r>
      <w:r w:rsidR="005C00AE" w:rsidRPr="00235690">
        <w:t xml:space="preserve">above </w:t>
      </w:r>
      <w:r w:rsidR="00286D91" w:rsidRPr="00235690">
        <w:t xml:space="preserve">65 receive more than this. </w:t>
      </w:r>
      <w:r w:rsidR="00484A2E" w:rsidRPr="00235690">
        <w:t>B</w:t>
      </w:r>
      <w:r w:rsidR="00286D91" w:rsidRPr="00235690">
        <w:t xml:space="preserve">y the time they reach age 77, they receive more than half of prime-age </w:t>
      </w:r>
      <w:r w:rsidR="00484A2E" w:rsidRPr="00235690">
        <w:t>labour income</w:t>
      </w:r>
      <w:r w:rsidR="00286D91" w:rsidRPr="00235690">
        <w:t xml:space="preserve"> in public transfers</w:t>
      </w:r>
      <w:r w:rsidR="00484A2E" w:rsidRPr="00235690">
        <w:t xml:space="preserve"> alone. And those</w:t>
      </w:r>
      <w:r w:rsidR="00286D91" w:rsidRPr="00235690">
        <w:t xml:space="preserve"> aged </w:t>
      </w:r>
      <w:r w:rsidR="00484A2E" w:rsidRPr="00235690">
        <w:t xml:space="preserve">above 90 </w:t>
      </w:r>
      <w:r w:rsidR="00286D91" w:rsidRPr="00235690">
        <w:t xml:space="preserve">even receive more than three-quarters of </w:t>
      </w:r>
      <w:r w:rsidR="00795984" w:rsidRPr="00235690">
        <w:t>prime-age earnings</w:t>
      </w:r>
      <w:r w:rsidR="00286D91" w:rsidRPr="00235690">
        <w:t xml:space="preserve">. </w:t>
      </w:r>
    </w:p>
    <w:p w14:paraId="543E280D" w14:textId="77777777" w:rsidR="00286D91" w:rsidRPr="00235690" w:rsidRDefault="00286D91" w:rsidP="00235690">
      <w:pPr>
        <w:spacing w:line="360" w:lineRule="auto"/>
      </w:pPr>
    </w:p>
    <w:p w14:paraId="7786EC05" w14:textId="30518475" w:rsidR="00484A2E" w:rsidRPr="00235690" w:rsidRDefault="00484A2E" w:rsidP="00235690">
      <w:pPr>
        <w:spacing w:line="360" w:lineRule="auto"/>
      </w:pPr>
      <w:r w:rsidRPr="00235690">
        <w:t>Figure</w:t>
      </w:r>
      <w:r w:rsidR="00EF3B50" w:rsidRPr="00235690">
        <w:t xml:space="preserve"> </w:t>
      </w:r>
      <w:r w:rsidRPr="00235690">
        <w:t>2</w:t>
      </w:r>
      <w:r w:rsidR="00EF3B50" w:rsidRPr="00235690">
        <w:t xml:space="preserve"> </w:t>
      </w:r>
      <w:r w:rsidRPr="00235690">
        <w:t>here</w:t>
      </w:r>
    </w:p>
    <w:p w14:paraId="0E196D09" w14:textId="77777777" w:rsidR="00484A2E" w:rsidRPr="00235690" w:rsidRDefault="00484A2E" w:rsidP="00235690">
      <w:pPr>
        <w:spacing w:line="360" w:lineRule="auto"/>
      </w:pPr>
    </w:p>
    <w:p w14:paraId="15893AF8" w14:textId="16C6F038" w:rsidR="00286D91" w:rsidRPr="00235690" w:rsidRDefault="00286D91" w:rsidP="00235690">
      <w:pPr>
        <w:spacing w:line="360" w:lineRule="auto"/>
      </w:pPr>
      <w:r w:rsidRPr="00235690">
        <w:t xml:space="preserve">However, </w:t>
      </w:r>
      <w:r w:rsidR="00D06C53" w:rsidRPr="00235690">
        <w:t>public transfers far from cover</w:t>
      </w:r>
      <w:r w:rsidR="00372DB9" w:rsidRPr="00235690">
        <w:t xml:space="preserve"> </w:t>
      </w:r>
      <w:r w:rsidR="00966B12" w:rsidRPr="00235690">
        <w:t>TLCD</w:t>
      </w:r>
      <w:r w:rsidR="004E2212" w:rsidRPr="00235690">
        <w:t>,</w:t>
      </w:r>
      <w:r w:rsidRPr="00235690">
        <w:t xml:space="preserve"> particularly among children. Consumption exceeds production by an equivalent of nearly 140</w:t>
      </w:r>
      <w:r w:rsidR="0029336A" w:rsidRPr="00235690">
        <w:t xml:space="preserve"> per</w:t>
      </w:r>
      <w:r w:rsidR="00760BFF" w:rsidRPr="00235690">
        <w:t>cent</w:t>
      </w:r>
      <w:r w:rsidRPr="00235690">
        <w:t xml:space="preserve"> of annual prime-age </w:t>
      </w:r>
      <w:r w:rsidR="00B96FAE" w:rsidRPr="00235690">
        <w:t>labour</w:t>
      </w:r>
      <w:r w:rsidR="00204126" w:rsidRPr="00235690">
        <w:t xml:space="preserve"> income for</w:t>
      </w:r>
      <w:r w:rsidRPr="00235690">
        <w:t xml:space="preserve"> </w:t>
      </w:r>
      <w:proofErr w:type="spellStart"/>
      <w:r w:rsidRPr="00235690">
        <w:t>newborn</w:t>
      </w:r>
      <w:r w:rsidR="00204126" w:rsidRPr="00235690">
        <w:t>s</w:t>
      </w:r>
      <w:proofErr w:type="spellEnd"/>
      <w:r w:rsidRPr="00235690">
        <w:t xml:space="preserve">, out of which public transfers cover only 15 percentage points. Other forms of inter-age reallocations must fill the gap. </w:t>
      </w:r>
      <w:r w:rsidR="001E2899" w:rsidRPr="00235690">
        <w:t>T</w:t>
      </w:r>
      <w:r w:rsidRPr="00235690">
        <w:t xml:space="preserve">he </w:t>
      </w:r>
      <w:r w:rsidR="00763B34" w:rsidRPr="00235690">
        <w:t xml:space="preserve">dark grey area </w:t>
      </w:r>
      <w:r w:rsidR="001E2899" w:rsidRPr="00235690">
        <w:t>s</w:t>
      </w:r>
      <w:r w:rsidRPr="00235690">
        <w:t>how</w:t>
      </w:r>
      <w:r w:rsidR="001E2899" w:rsidRPr="00235690">
        <w:t>s</w:t>
      </w:r>
      <w:r w:rsidRPr="00235690">
        <w:t xml:space="preserve"> the age profile of private transfers</w:t>
      </w:r>
      <w:r w:rsidR="00795984" w:rsidRPr="00235690">
        <w:t xml:space="preserve"> - </w:t>
      </w:r>
      <w:r w:rsidRPr="00235690">
        <w:t>flows of items that are part of the national income</w:t>
      </w:r>
      <w:r w:rsidR="00484A2E" w:rsidRPr="00235690">
        <w:t xml:space="preserve"> (e.g.</w:t>
      </w:r>
      <w:r w:rsidR="00484988" w:rsidRPr="00235690">
        <w:t>,</w:t>
      </w:r>
      <w:r w:rsidR="00484A2E" w:rsidRPr="00235690">
        <w:t xml:space="preserve"> </w:t>
      </w:r>
      <w:r w:rsidRPr="00235690">
        <w:t>services and commodities</w:t>
      </w:r>
      <w:r w:rsidR="00484A2E" w:rsidRPr="00235690">
        <w:t>)</w:t>
      </w:r>
      <w:r w:rsidRPr="00235690">
        <w:t xml:space="preserve"> bought by parents but consumed by their children. They are exchanged almost exclusively among relatives</w:t>
      </w:r>
      <w:r w:rsidR="00484A2E" w:rsidRPr="00235690">
        <w:t xml:space="preserve"> and overwhelmingly within h</w:t>
      </w:r>
      <w:r w:rsidRPr="00235690">
        <w:t>ousehold</w:t>
      </w:r>
      <w:r w:rsidR="00484A2E" w:rsidRPr="00235690">
        <w:t>s</w:t>
      </w:r>
      <w:r w:rsidRPr="00235690">
        <w:t>.</w:t>
      </w:r>
      <w:r w:rsidR="00D06C53" w:rsidRPr="00235690">
        <w:rPr>
          <w:rStyle w:val="EndnoteReference"/>
        </w:rPr>
        <w:endnoteReference w:id="12"/>
      </w:r>
    </w:p>
    <w:p w14:paraId="36242986" w14:textId="46599F1D" w:rsidR="00286D91" w:rsidRPr="00235690" w:rsidRDefault="00286D91" w:rsidP="00235690">
      <w:pPr>
        <w:spacing w:line="360" w:lineRule="auto"/>
      </w:pPr>
      <w:r w:rsidRPr="00235690">
        <w:t>The age p</w:t>
      </w:r>
      <w:r w:rsidR="00D06C53" w:rsidRPr="00235690">
        <w:t>rofile of private transfers is very</w:t>
      </w:r>
      <w:r w:rsidRPr="00235690">
        <w:t xml:space="preserve"> different from that of public transfers. First, reflecting the typical household structure prevalent across Europe, private transfers are mostly a two-generation affair</w:t>
      </w:r>
      <w:r w:rsidR="00E00112" w:rsidRPr="00235690">
        <w:t xml:space="preserve">. </w:t>
      </w:r>
      <w:r w:rsidR="00B52F21" w:rsidRPr="00235690">
        <w:t xml:space="preserve">Those </w:t>
      </w:r>
      <w:r w:rsidR="00E00112" w:rsidRPr="00235690">
        <w:t>up to age</w:t>
      </w:r>
      <w:r w:rsidR="00B52F21" w:rsidRPr="00235690">
        <w:t xml:space="preserve"> 27</w:t>
      </w:r>
      <w:r w:rsidRPr="00235690">
        <w:t xml:space="preserve"> are net receivers</w:t>
      </w:r>
      <w:r w:rsidR="00B52F21" w:rsidRPr="00235690">
        <w:t xml:space="preserve">, and </w:t>
      </w:r>
      <w:r w:rsidR="00955FCA" w:rsidRPr="00235690">
        <w:t>around age</w:t>
      </w:r>
      <w:r w:rsidRPr="00235690">
        <w:t xml:space="preserve"> 60 net private transfers become marginal, remain</w:t>
      </w:r>
      <w:r w:rsidR="00B52F21" w:rsidRPr="00235690">
        <w:t>ing</w:t>
      </w:r>
      <w:r w:rsidRPr="00235690">
        <w:t xml:space="preserve"> so through all older age groups. Second, while negligible in old age, private transfers are more important than public transfers</w:t>
      </w:r>
      <w:r w:rsidR="00B52F21" w:rsidRPr="00235690">
        <w:t xml:space="preserve"> </w:t>
      </w:r>
      <w:r w:rsidR="00D06C53" w:rsidRPr="00235690">
        <w:t>at every childhood stage</w:t>
      </w:r>
      <w:r w:rsidRPr="00235690">
        <w:t>.</w:t>
      </w:r>
      <w:r w:rsidR="00795984" w:rsidRPr="00235690">
        <w:t xml:space="preserve"> </w:t>
      </w:r>
      <w:r w:rsidRPr="00235690">
        <w:t xml:space="preserve">Yet, large parts of the area below the </w:t>
      </w:r>
      <w:r w:rsidR="00372DB9" w:rsidRPr="00235690">
        <w:t xml:space="preserve">TLCD </w:t>
      </w:r>
      <w:r w:rsidRPr="00235690">
        <w:t xml:space="preserve">curve are still </w:t>
      </w:r>
      <w:r w:rsidR="00372DB9" w:rsidRPr="00235690">
        <w:t>uncovered</w:t>
      </w:r>
      <w:r w:rsidRPr="00235690">
        <w:t xml:space="preserve">. This gap is mostly filled with time transfers. </w:t>
      </w:r>
      <w:r w:rsidR="00B52F21" w:rsidRPr="00235690">
        <w:t>C</w:t>
      </w:r>
      <w:r w:rsidRPr="00235690">
        <w:t xml:space="preserve">hildren </w:t>
      </w:r>
      <w:r w:rsidR="00D06C53" w:rsidRPr="00235690">
        <w:t>require</w:t>
      </w:r>
      <w:r w:rsidRPr="00235690">
        <w:t xml:space="preserve"> more time </w:t>
      </w:r>
      <w:r w:rsidR="00D06C53" w:rsidRPr="00235690">
        <w:t xml:space="preserve">resources </w:t>
      </w:r>
      <w:r w:rsidRPr="00235690">
        <w:t>when small and more cash as they grow older. Private transfers start at a lower base, but exceed the value of time transfers by age 12 and subsequently remain above them througho</w:t>
      </w:r>
      <w:r w:rsidR="00B52F21" w:rsidRPr="00235690">
        <w:t>ut youth. Second, on the whole,</w:t>
      </w:r>
      <w:r w:rsidRPr="00235690">
        <w:t xml:space="preserve"> children receive nearly one-and-a-half times as m</w:t>
      </w:r>
      <w:r w:rsidR="00763B34" w:rsidRPr="00235690">
        <w:t xml:space="preserve">any </w:t>
      </w:r>
      <w:r w:rsidRPr="00235690">
        <w:t>time tran</w:t>
      </w:r>
      <w:r w:rsidR="00B52F21" w:rsidRPr="00235690">
        <w:t xml:space="preserve">sfers as private </w:t>
      </w:r>
      <w:r w:rsidR="0061038B" w:rsidRPr="00235690">
        <w:t>transfers</w:t>
      </w:r>
      <w:r w:rsidRPr="00235690">
        <w:t xml:space="preserve">. Third, </w:t>
      </w:r>
      <w:r w:rsidR="00B52F21" w:rsidRPr="00235690">
        <w:t>older</w:t>
      </w:r>
      <w:r w:rsidR="005C00AE" w:rsidRPr="00235690">
        <w:t xml:space="preserve"> Europeans</w:t>
      </w:r>
      <w:r w:rsidR="00D06C53" w:rsidRPr="00235690">
        <w:t xml:space="preserve"> </w:t>
      </w:r>
      <w:r w:rsidRPr="00235690">
        <w:t>up to age 79 are modest net p</w:t>
      </w:r>
      <w:r w:rsidR="00B52F21" w:rsidRPr="00235690">
        <w:t>roviders of time</w:t>
      </w:r>
      <w:r w:rsidRPr="00235690">
        <w:t xml:space="preserve">. </w:t>
      </w:r>
    </w:p>
    <w:p w14:paraId="11DBC635" w14:textId="0FB50E19" w:rsidR="00770126" w:rsidRPr="00235690" w:rsidRDefault="0013014A" w:rsidP="00235690">
      <w:pPr>
        <w:spacing w:line="360" w:lineRule="auto"/>
      </w:pPr>
      <w:r w:rsidRPr="00235690">
        <w:t>In sum,</w:t>
      </w:r>
      <w:r w:rsidR="00176C64" w:rsidRPr="00235690">
        <w:t xml:space="preserve"> t</w:t>
      </w:r>
      <w:r w:rsidRPr="00235690">
        <w:t>aking the complete transfer package into ac</w:t>
      </w:r>
      <w:r w:rsidR="005C00AE" w:rsidRPr="00235690">
        <w:t>count, children cost more than older persons</w:t>
      </w:r>
      <w:r w:rsidRPr="00235690">
        <w:t xml:space="preserve">. For Europe as a whole, the largest </w:t>
      </w:r>
      <w:r w:rsidR="00176C64" w:rsidRPr="00235690">
        <w:t>transfer</w:t>
      </w:r>
      <w:r w:rsidRPr="00235690">
        <w:t xml:space="preserve"> package </w:t>
      </w:r>
      <w:r w:rsidR="00D06C53" w:rsidRPr="00235690">
        <w:t xml:space="preserve">in childhood </w:t>
      </w:r>
      <w:r w:rsidR="00955FCA" w:rsidRPr="00235690">
        <w:t>(</w:t>
      </w:r>
      <w:r w:rsidR="00D06C53" w:rsidRPr="00235690">
        <w:t>for</w:t>
      </w:r>
      <w:r w:rsidRPr="00235690">
        <w:t xml:space="preserve"> </w:t>
      </w:r>
      <w:proofErr w:type="spellStart"/>
      <w:r w:rsidRPr="00235690">
        <w:t>newborns</w:t>
      </w:r>
      <w:proofErr w:type="spellEnd"/>
      <w:r w:rsidR="00795984" w:rsidRPr="00235690">
        <w:t xml:space="preserve">, </w:t>
      </w:r>
      <w:r w:rsidR="00D06C53" w:rsidRPr="00235690">
        <w:t>at 140 per</w:t>
      </w:r>
      <w:r w:rsidRPr="00235690">
        <w:t>cent of prime-age earnings</w:t>
      </w:r>
      <w:r w:rsidR="00955FCA" w:rsidRPr="00235690">
        <w:t>)</w:t>
      </w:r>
      <w:r w:rsidRPr="00235690">
        <w:t xml:space="preserve"> is 60 percentage points higher than th</w:t>
      </w:r>
      <w:r w:rsidR="00176C64" w:rsidRPr="00235690">
        <w:t xml:space="preserve">at </w:t>
      </w:r>
      <w:r w:rsidR="00D06C53" w:rsidRPr="00235690">
        <w:t>in old age (80 per</w:t>
      </w:r>
      <w:r w:rsidRPr="00235690">
        <w:t xml:space="preserve">cent). </w:t>
      </w:r>
      <w:r w:rsidR="00A13B40" w:rsidRPr="00235690">
        <w:t xml:space="preserve">Moreover, </w:t>
      </w:r>
      <w:r w:rsidR="001B3718" w:rsidRPr="00235690">
        <w:t xml:space="preserve">Europe is also </w:t>
      </w:r>
      <w:r w:rsidR="00274F47" w:rsidRPr="00235690">
        <w:t xml:space="preserve">a relatively </w:t>
      </w:r>
      <w:r w:rsidR="00274F47" w:rsidRPr="00235690">
        <w:rPr>
          <w:i/>
        </w:rPr>
        <w:t>idle</w:t>
      </w:r>
      <w:r w:rsidR="00274F47" w:rsidRPr="00235690">
        <w:t xml:space="preserve"> continent</w:t>
      </w:r>
      <w:r w:rsidR="001B3718" w:rsidRPr="00235690">
        <w:t xml:space="preserve">, </w:t>
      </w:r>
      <w:r w:rsidR="00274F47" w:rsidRPr="00235690">
        <w:t xml:space="preserve">with </w:t>
      </w:r>
      <w:r w:rsidR="005C00AE" w:rsidRPr="00235690">
        <w:t xml:space="preserve">short </w:t>
      </w:r>
      <w:r w:rsidR="00274F47" w:rsidRPr="00235690">
        <w:t xml:space="preserve">periods of </w:t>
      </w:r>
      <w:r w:rsidR="005C00AE" w:rsidRPr="00235690">
        <w:t>productive life</w:t>
      </w:r>
      <w:r w:rsidR="00274F47" w:rsidRPr="00235690">
        <w:t xml:space="preserve">. Defined </w:t>
      </w:r>
      <w:r w:rsidR="005C00AE" w:rsidRPr="00235690">
        <w:t xml:space="preserve">not chronologically but </w:t>
      </w:r>
      <w:r w:rsidR="00A13B40" w:rsidRPr="00235690">
        <w:t>by</w:t>
      </w:r>
      <w:r w:rsidR="00274F47" w:rsidRPr="00235690">
        <w:t xml:space="preserve"> </w:t>
      </w:r>
      <w:r w:rsidR="00274F47" w:rsidRPr="00235690">
        <w:rPr>
          <w:i/>
        </w:rPr>
        <w:t>total</w:t>
      </w:r>
      <w:r w:rsidR="00274F47" w:rsidRPr="00235690">
        <w:t xml:space="preserve"> resource dependency, childhood lasts on average until age 25, while old age already starts at age 60</w:t>
      </w:r>
      <w:r w:rsidR="001B3718" w:rsidRPr="00235690">
        <w:t xml:space="preserve">.  As Table </w:t>
      </w:r>
      <w:r w:rsidR="003F1281" w:rsidRPr="00235690">
        <w:t>2</w:t>
      </w:r>
      <w:r w:rsidR="001B3718" w:rsidRPr="00235690">
        <w:t xml:space="preserve"> shows, </w:t>
      </w:r>
      <w:r w:rsidR="00770126" w:rsidRPr="00235690">
        <w:t>there is only minor cross-country variatio</w:t>
      </w:r>
      <w:r w:rsidR="00125A73" w:rsidRPr="00235690">
        <w:t>n in this respect</w:t>
      </w:r>
      <w:r w:rsidR="00770126" w:rsidRPr="00235690">
        <w:t>. TLCD-childhood ends earliest in Hungary and t</w:t>
      </w:r>
      <w:r w:rsidR="005C00AE" w:rsidRPr="00235690">
        <w:t>he UK (at age 23) and latest in</w:t>
      </w:r>
      <w:r w:rsidR="00125A73" w:rsidRPr="00235690">
        <w:t xml:space="preserve"> </w:t>
      </w:r>
      <w:r w:rsidR="00770126" w:rsidRPr="00235690">
        <w:t xml:space="preserve">Southern Europe (age 26). TLCD-old age starts earliest in Slovenia (age 58), and latest in Sweden (age 63). </w:t>
      </w:r>
    </w:p>
    <w:p w14:paraId="4B5BDC0D" w14:textId="77777777" w:rsidR="0082624D" w:rsidRPr="00235690" w:rsidRDefault="0082624D" w:rsidP="00235690">
      <w:pPr>
        <w:spacing w:line="360" w:lineRule="auto"/>
        <w:ind w:firstLine="0"/>
      </w:pPr>
      <w:bookmarkStart w:id="20" w:name="_Toc473385531"/>
      <w:bookmarkStart w:id="21" w:name="_Toc470961221"/>
    </w:p>
    <w:p w14:paraId="329B2FC8" w14:textId="19ACD589" w:rsidR="00146EFB" w:rsidRPr="00235690" w:rsidRDefault="001E2CD3" w:rsidP="00235690">
      <w:pPr>
        <w:pStyle w:val="Heading2"/>
        <w:spacing w:line="360" w:lineRule="auto"/>
      </w:pPr>
      <w:r w:rsidRPr="00235690">
        <w:t>Asymmetric socialisation, asymmetric visibility</w:t>
      </w:r>
      <w:bookmarkEnd w:id="20"/>
    </w:p>
    <w:bookmarkEnd w:id="21"/>
    <w:p w14:paraId="0B4C71D4" w14:textId="113B9078" w:rsidR="00286D91" w:rsidRPr="00235690" w:rsidRDefault="0061038B" w:rsidP="00235690">
      <w:pPr>
        <w:spacing w:line="360" w:lineRule="auto"/>
        <w:ind w:firstLine="0"/>
      </w:pPr>
      <w:r w:rsidRPr="00235690">
        <w:t>T</w:t>
      </w:r>
      <w:r w:rsidR="00286D91" w:rsidRPr="00235690">
        <w:t xml:space="preserve">here is a significant asymmetry in the forms of financing childhood </w:t>
      </w:r>
      <w:r w:rsidR="004F0640" w:rsidRPr="00235690">
        <w:t xml:space="preserve">(mainly households) </w:t>
      </w:r>
      <w:r w:rsidR="00286D91" w:rsidRPr="00235690">
        <w:t>and old age</w:t>
      </w:r>
      <w:r w:rsidR="004F0640" w:rsidRPr="00235690">
        <w:t xml:space="preserve"> (mainly public policies</w:t>
      </w:r>
      <w:r w:rsidRPr="00235690">
        <w:t xml:space="preserve"> and market institutions</w:t>
      </w:r>
      <w:r w:rsidR="004F0640" w:rsidRPr="00235690">
        <w:t>) in modern societies</w:t>
      </w:r>
      <w:r w:rsidR="00286D91" w:rsidRPr="00235690">
        <w:t xml:space="preserve">. </w:t>
      </w:r>
      <w:r w:rsidR="0013014A" w:rsidRPr="00235690">
        <w:t xml:space="preserve">Public transfers </w:t>
      </w:r>
      <w:r w:rsidR="00286D91" w:rsidRPr="00235690">
        <w:t xml:space="preserve">are visible </w:t>
      </w:r>
      <w:r w:rsidR="0082624D" w:rsidRPr="00235690">
        <w:t>as</w:t>
      </w:r>
      <w:r w:rsidR="00286D91" w:rsidRPr="00235690">
        <w:t xml:space="preserve"> they are covered by standard public statistics. </w:t>
      </w:r>
      <w:r w:rsidR="0082624D" w:rsidRPr="00235690">
        <w:t>P</w:t>
      </w:r>
      <w:r w:rsidR="00286D91" w:rsidRPr="00235690">
        <w:t xml:space="preserve">rivate and time </w:t>
      </w:r>
      <w:r w:rsidR="00286D91" w:rsidRPr="00235690">
        <w:lastRenderedPageBreak/>
        <w:t>transfer</w:t>
      </w:r>
      <w:r w:rsidR="0082624D" w:rsidRPr="00235690">
        <w:t>s are captured only by the</w:t>
      </w:r>
      <w:r w:rsidR="00286D91" w:rsidRPr="00235690">
        <w:t xml:space="preserve"> </w:t>
      </w:r>
      <w:r w:rsidR="0082624D" w:rsidRPr="00235690">
        <w:t>recent methodological novelties</w:t>
      </w:r>
      <w:r w:rsidR="00286D91" w:rsidRPr="00235690">
        <w:t xml:space="preserve"> NTA and NTTA</w:t>
      </w:r>
      <w:r w:rsidR="004F0640" w:rsidRPr="00235690">
        <w:t xml:space="preserve">, and thus </w:t>
      </w:r>
      <w:r w:rsidR="00286D91" w:rsidRPr="00235690">
        <w:t xml:space="preserve">fly under the radar of current statistical standards. </w:t>
      </w:r>
      <w:r w:rsidR="00770126" w:rsidRPr="00235690">
        <w:t xml:space="preserve">In Table </w:t>
      </w:r>
      <w:r w:rsidR="00CE301D" w:rsidRPr="00235690">
        <w:t>2</w:t>
      </w:r>
      <w:r w:rsidR="00770126" w:rsidRPr="00235690">
        <w:t xml:space="preserve"> we also split the full</w:t>
      </w:r>
      <w:r w:rsidR="00ED564F" w:rsidRPr="00235690">
        <w:t xml:space="preserve"> transfer package by visibility</w:t>
      </w:r>
      <w:r w:rsidR="00286D91" w:rsidRPr="00235690">
        <w:t xml:space="preserve">. Market and government transfers flow between people connected by contractual relations enforceable by law. The value of transfers is largely set by </w:t>
      </w:r>
      <w:r w:rsidR="00770126" w:rsidRPr="00235690">
        <w:t>market forces or regulation</w:t>
      </w:r>
      <w:r w:rsidR="00ED564F" w:rsidRPr="00235690">
        <w:t>, and it is r</w:t>
      </w:r>
      <w:r w:rsidR="00286D91" w:rsidRPr="00235690">
        <w:t>egister</w:t>
      </w:r>
      <w:r w:rsidR="00ED564F" w:rsidRPr="00235690">
        <w:t>ed and accounted for</w:t>
      </w:r>
      <w:r w:rsidR="00286D91" w:rsidRPr="00235690">
        <w:t xml:space="preserve">. </w:t>
      </w:r>
      <w:r w:rsidR="00ED564F" w:rsidRPr="00235690">
        <w:t xml:space="preserve">But regarding </w:t>
      </w:r>
      <w:r w:rsidR="00286D91" w:rsidRPr="00235690">
        <w:t xml:space="preserve">invisible transfers, </w:t>
      </w:r>
      <w:r w:rsidR="00ED564F" w:rsidRPr="00235690">
        <w:t>the</w:t>
      </w:r>
      <w:r w:rsidR="00286D91" w:rsidRPr="00235690">
        <w:t xml:space="preserve"> cooperation of the actors, most frequently family members, is regulated by customs and social norms</w:t>
      </w:r>
      <w:r w:rsidR="00770126" w:rsidRPr="00235690">
        <w:t xml:space="preserve"> (</w:t>
      </w:r>
      <w:proofErr w:type="spellStart"/>
      <w:r w:rsidR="001C0D0E" w:rsidRPr="00235690">
        <w:t>Alessie</w:t>
      </w:r>
      <w:proofErr w:type="spellEnd"/>
      <w:r w:rsidR="001C0D0E" w:rsidRPr="00235690">
        <w:t xml:space="preserve"> </w:t>
      </w:r>
      <w:r w:rsidR="001C0D0E" w:rsidRPr="00235690">
        <w:rPr>
          <w:i/>
        </w:rPr>
        <w:t>et al</w:t>
      </w:r>
      <w:r w:rsidR="001C0D0E" w:rsidRPr="00235690">
        <w:t xml:space="preserve">. 2014; </w:t>
      </w:r>
      <w:r w:rsidR="00770126" w:rsidRPr="00235690">
        <w:t>Coleman 1990)</w:t>
      </w:r>
      <w:r w:rsidR="00286D91" w:rsidRPr="00235690">
        <w:t>. Violation of these norms is less observable</w:t>
      </w:r>
      <w:r w:rsidR="00ED564F" w:rsidRPr="00235690">
        <w:t>, less systematically registered</w:t>
      </w:r>
      <w:r w:rsidR="00286D91" w:rsidRPr="00235690">
        <w:t xml:space="preserve"> and, except for extreme cases, not enforceable by law. In the case of time transfers, they cannot even be measured directly because the transfer is not evaluated in the market. </w:t>
      </w:r>
      <w:r w:rsidR="00ED564F" w:rsidRPr="00235690">
        <w:t xml:space="preserve">As a result, </w:t>
      </w:r>
      <w:proofErr w:type="gramStart"/>
      <w:r w:rsidR="00286D91" w:rsidRPr="00235690">
        <w:t>these transfers</w:t>
      </w:r>
      <w:proofErr w:type="gramEnd"/>
      <w:r w:rsidR="00286D91" w:rsidRPr="00235690">
        <w:t xml:space="preserve"> </w:t>
      </w:r>
      <w:r w:rsidR="00ED564F" w:rsidRPr="00235690">
        <w:t xml:space="preserve">largely </w:t>
      </w:r>
      <w:r w:rsidR="00286D91" w:rsidRPr="00235690">
        <w:t xml:space="preserve">missing from public statistics. </w:t>
      </w:r>
      <w:r w:rsidR="00ED564F" w:rsidRPr="00235690">
        <w:t>Statistical v</w:t>
      </w:r>
      <w:r w:rsidR="00286D91" w:rsidRPr="00235690">
        <w:t xml:space="preserve">isibility corresponds with socialization of transfers since it is socialization that leaves traces and makes valuation </w:t>
      </w:r>
      <w:r w:rsidR="00ED564F" w:rsidRPr="00235690">
        <w:t>easier</w:t>
      </w:r>
      <w:r w:rsidR="00286D91" w:rsidRPr="00235690">
        <w:t>.</w:t>
      </w:r>
    </w:p>
    <w:p w14:paraId="0EB78E43" w14:textId="09A8844C" w:rsidR="00286D91" w:rsidRPr="00235690" w:rsidRDefault="00286D91" w:rsidP="00235690">
      <w:pPr>
        <w:spacing w:line="360" w:lineRule="auto"/>
      </w:pPr>
      <w:r w:rsidRPr="00235690">
        <w:t xml:space="preserve">In some sense, there is a universal functional division of </w:t>
      </w:r>
      <w:r w:rsidR="00B96FAE" w:rsidRPr="00235690">
        <w:t>labour</w:t>
      </w:r>
      <w:r w:rsidRPr="00235690">
        <w:t xml:space="preserve"> going on </w:t>
      </w:r>
      <w:r w:rsidRPr="00235690">
        <w:rPr>
          <w:rFonts w:eastAsia="Times New Roman"/>
          <w:color w:val="222222"/>
          <w:lang w:eastAsia="hu-HU"/>
        </w:rPr>
        <w:t>between governments and families</w:t>
      </w:r>
      <w:r w:rsidR="00ED564F" w:rsidRPr="00235690">
        <w:rPr>
          <w:rFonts w:eastAsia="Times New Roman"/>
          <w:color w:val="222222"/>
          <w:lang w:eastAsia="hu-HU"/>
        </w:rPr>
        <w:t xml:space="preserve"> in contemporary societies</w:t>
      </w:r>
      <w:r w:rsidRPr="00235690">
        <w:rPr>
          <w:rFonts w:eastAsia="Times New Roman"/>
          <w:color w:val="222222"/>
          <w:lang w:eastAsia="hu-HU"/>
        </w:rPr>
        <w:t>. W</w:t>
      </w:r>
      <w:r w:rsidRPr="00235690">
        <w:t xml:space="preserve">orking-age citizens pay taxes and social security contributions </w:t>
      </w:r>
      <w:r w:rsidR="00ED564F" w:rsidRPr="00235690">
        <w:t>to care indirectly</w:t>
      </w:r>
      <w:r w:rsidRPr="00235690">
        <w:t xml:space="preserve"> for currently </w:t>
      </w:r>
      <w:r w:rsidR="005C00AE" w:rsidRPr="00235690">
        <w:t>older</w:t>
      </w:r>
      <w:r w:rsidRPr="00235690">
        <w:t xml:space="preserve"> </w:t>
      </w:r>
      <w:r w:rsidRPr="00235690">
        <w:rPr>
          <w:i/>
        </w:rPr>
        <w:t xml:space="preserve">generations </w:t>
      </w:r>
      <w:r w:rsidRPr="00235690">
        <w:t>through state progr</w:t>
      </w:r>
      <w:r w:rsidR="00ED564F" w:rsidRPr="00235690">
        <w:t>ams</w:t>
      </w:r>
      <w:r w:rsidRPr="00235690">
        <w:t xml:space="preserve">. But they predominantly spend private time and private resources to care directly for their </w:t>
      </w:r>
      <w:r w:rsidRPr="00235690">
        <w:rPr>
          <w:i/>
        </w:rPr>
        <w:t>own</w:t>
      </w:r>
      <w:r w:rsidR="00BA5221" w:rsidRPr="00235690">
        <w:t xml:space="preserve"> children themselves. </w:t>
      </w:r>
      <w:r w:rsidR="00B60AAA" w:rsidRPr="00235690">
        <w:t>Notwithstanding the notable increases in resources invested in public education over the past decades (Goldin and Katz 2008</w:t>
      </w:r>
      <w:r w:rsidR="00ED564F" w:rsidRPr="00235690">
        <w:t>; this collection</w:t>
      </w:r>
      <w:r w:rsidR="00B60AAA" w:rsidRPr="00235690">
        <w:t>), the resources involved in raising children remain mostly a family affair. B</w:t>
      </w:r>
      <w:r w:rsidR="00ED564F" w:rsidRPr="00235690">
        <w:t xml:space="preserve">ut since </w:t>
      </w:r>
      <w:r w:rsidR="00B60AAA" w:rsidRPr="00235690">
        <w:t>w</w:t>
      </w:r>
      <w:r w:rsidR="00125A73" w:rsidRPr="00235690">
        <w:t>orking-age adults no longer tend to live with their parents</w:t>
      </w:r>
      <w:r w:rsidR="00ED564F" w:rsidRPr="00235690">
        <w:t>, c</w:t>
      </w:r>
      <w:r w:rsidR="00125A73" w:rsidRPr="00235690">
        <w:t>are for</w:t>
      </w:r>
      <w:r w:rsidR="005C00AE" w:rsidRPr="00235690">
        <w:t xml:space="preserve"> older</w:t>
      </w:r>
      <w:r w:rsidR="00125A73" w:rsidRPr="00235690">
        <w:t xml:space="preserve"> generations is largely institutionalized through government programs or markets</w:t>
      </w:r>
      <w:r w:rsidR="00B60AAA" w:rsidRPr="00235690">
        <w:t xml:space="preserve">. </w:t>
      </w:r>
      <w:r w:rsidR="00BA5221" w:rsidRPr="00235690">
        <w:t xml:space="preserve">Transfers </w:t>
      </w:r>
      <w:r w:rsidRPr="00235690">
        <w:t xml:space="preserve">to </w:t>
      </w:r>
      <w:r w:rsidR="005C00AE" w:rsidRPr="00235690">
        <w:t xml:space="preserve">older persons </w:t>
      </w:r>
      <w:r w:rsidR="00B60AAA" w:rsidRPr="00235690">
        <w:t>are easier to socialize</w:t>
      </w:r>
      <w:r w:rsidR="005C00AE" w:rsidRPr="00235690">
        <w:t xml:space="preserve"> through cash or </w:t>
      </w:r>
      <w:r w:rsidRPr="00235690">
        <w:t xml:space="preserve">public services </w:t>
      </w:r>
      <w:r w:rsidR="005C00AE" w:rsidRPr="00235690">
        <w:t xml:space="preserve">provision </w:t>
      </w:r>
      <w:r w:rsidRPr="00235690">
        <w:t>without the intercession of a guardian</w:t>
      </w:r>
      <w:r w:rsidR="003F1281" w:rsidRPr="00235690">
        <w:t>. Table 3</w:t>
      </w:r>
      <w:r w:rsidRPr="00235690">
        <w:t xml:space="preserve"> gives further details by showing the institutional composition of transfers flowing to the two groups of net beneficiaries in our sample. </w:t>
      </w:r>
    </w:p>
    <w:p w14:paraId="7BD5AA0B" w14:textId="77777777" w:rsidR="00F01AB6" w:rsidRPr="00235690" w:rsidRDefault="00F01AB6" w:rsidP="00235690">
      <w:pPr>
        <w:spacing w:line="360" w:lineRule="auto"/>
      </w:pPr>
    </w:p>
    <w:p w14:paraId="6AC264AF" w14:textId="3957E320" w:rsidR="00F01AB6" w:rsidRPr="00235690" w:rsidRDefault="00F01AB6" w:rsidP="00235690">
      <w:pPr>
        <w:spacing w:line="360" w:lineRule="auto"/>
      </w:pPr>
      <w:r w:rsidRPr="00235690">
        <w:t>Table</w:t>
      </w:r>
      <w:r w:rsidR="00E4508B" w:rsidRPr="00235690">
        <w:t xml:space="preserve"> </w:t>
      </w:r>
      <w:r w:rsidRPr="00235690">
        <w:t>3</w:t>
      </w:r>
      <w:r w:rsidR="00E4508B" w:rsidRPr="00235690">
        <w:t xml:space="preserve"> </w:t>
      </w:r>
      <w:r w:rsidRPr="00235690">
        <w:t>here</w:t>
      </w:r>
    </w:p>
    <w:p w14:paraId="2133FF72" w14:textId="77777777" w:rsidR="00001153" w:rsidRPr="00235690" w:rsidRDefault="00001153" w:rsidP="00235690">
      <w:pPr>
        <w:spacing w:line="360" w:lineRule="auto"/>
      </w:pPr>
    </w:p>
    <w:p w14:paraId="32D95551" w14:textId="518C3B6F" w:rsidR="00286D91" w:rsidRPr="00235690" w:rsidRDefault="00A13B40" w:rsidP="00235690">
      <w:pPr>
        <w:spacing w:line="360" w:lineRule="auto"/>
      </w:pPr>
      <w:r w:rsidRPr="00235690">
        <w:t xml:space="preserve">Children in Europe, defined </w:t>
      </w:r>
      <w:r w:rsidR="00286D91" w:rsidRPr="00235690">
        <w:t>by TLCD, receive on average one-fifth of their complete transfer package through public channels</w:t>
      </w:r>
      <w:r w:rsidR="00BA5221" w:rsidRPr="00235690">
        <w:t>,</w:t>
      </w:r>
      <w:r w:rsidR="00BA6F57" w:rsidRPr="00235690">
        <w:t xml:space="preserve"> and another third </w:t>
      </w:r>
      <w:r w:rsidR="00286D91" w:rsidRPr="00235690">
        <w:t xml:space="preserve">from the family </w:t>
      </w:r>
      <w:r w:rsidR="00BA6F57" w:rsidRPr="00235690">
        <w:t xml:space="preserve">as </w:t>
      </w:r>
      <w:r w:rsidR="00286D91" w:rsidRPr="00235690">
        <w:t>commodities and services bought in the market.</w:t>
      </w:r>
      <w:r w:rsidR="008E61D8" w:rsidRPr="00235690">
        <w:rPr>
          <w:rStyle w:val="EndnoteReference"/>
        </w:rPr>
        <w:endnoteReference w:id="13"/>
      </w:r>
      <w:r w:rsidR="00286D91" w:rsidRPr="00235690">
        <w:t xml:space="preserve"> </w:t>
      </w:r>
      <w:r w:rsidR="00DD79C7" w:rsidRPr="00235690">
        <w:t>But</w:t>
      </w:r>
      <w:r w:rsidR="00286D91" w:rsidRPr="00235690">
        <w:t xml:space="preserve"> they receive nearly</w:t>
      </w:r>
      <w:r w:rsidR="00286D91" w:rsidRPr="00235690">
        <w:rPr>
          <w:i/>
        </w:rPr>
        <w:t xml:space="preserve"> half</w:t>
      </w:r>
      <w:r w:rsidR="00286D91" w:rsidRPr="00235690">
        <w:t xml:space="preserve"> of their net transfers in the form of unpaid household </w:t>
      </w:r>
      <w:r w:rsidR="00B96FAE" w:rsidRPr="00235690">
        <w:t>labour</w:t>
      </w:r>
      <w:r w:rsidR="00125A73" w:rsidRPr="00235690">
        <w:t xml:space="preserve">. In contrast, </w:t>
      </w:r>
      <w:r w:rsidR="00BA6F57" w:rsidRPr="00235690">
        <w:t xml:space="preserve">older persons </w:t>
      </w:r>
      <w:r w:rsidR="00286D91" w:rsidRPr="00235690">
        <w:t>are net providers of both time transfers and private transfers</w:t>
      </w:r>
      <w:r w:rsidR="0061038B" w:rsidRPr="00235690">
        <w:t xml:space="preserve"> </w:t>
      </w:r>
      <w:r w:rsidR="00286D91" w:rsidRPr="00235690">
        <w:t>(-10</w:t>
      </w:r>
      <w:r w:rsidR="00BA5221" w:rsidRPr="00235690">
        <w:t xml:space="preserve"> per</w:t>
      </w:r>
      <w:r w:rsidR="00760BFF" w:rsidRPr="00235690">
        <w:t>cent</w:t>
      </w:r>
      <w:r w:rsidR="00BA5221" w:rsidRPr="00235690">
        <w:t xml:space="preserve"> both</w:t>
      </w:r>
      <w:r w:rsidR="00286D91" w:rsidRPr="00235690">
        <w:t>). Combined, the net invisible transfers reduce their co</w:t>
      </w:r>
      <w:r w:rsidR="00BA5221" w:rsidRPr="00235690">
        <w:t>mplete package by one-fifth</w:t>
      </w:r>
      <w:r w:rsidR="00286D91" w:rsidRPr="00235690">
        <w:t xml:space="preserve">; the positive side of the net transfer package consists only </w:t>
      </w:r>
      <w:r w:rsidR="0061038B" w:rsidRPr="00235690">
        <w:t>of public transfers. S</w:t>
      </w:r>
      <w:r w:rsidR="00286D91" w:rsidRPr="00235690">
        <w:t>ince the visibility of the transfer pack</w:t>
      </w:r>
      <w:r w:rsidR="00BA6F57" w:rsidRPr="00235690">
        <w:t>ages received by children and</w:t>
      </w:r>
      <w:r w:rsidR="00286D91" w:rsidRPr="00235690">
        <w:t xml:space="preserve"> </w:t>
      </w:r>
      <w:r w:rsidR="00BA6F57" w:rsidRPr="00235690">
        <w:t xml:space="preserve">older </w:t>
      </w:r>
      <w:r w:rsidR="00BA6F57" w:rsidRPr="00235690">
        <w:lastRenderedPageBreak/>
        <w:t xml:space="preserve">persons </w:t>
      </w:r>
      <w:r w:rsidR="00286D91" w:rsidRPr="00235690">
        <w:t>is asymme</w:t>
      </w:r>
      <w:r w:rsidR="00B96FAE" w:rsidRPr="00235690">
        <w:t>tric</w:t>
      </w:r>
      <w:r w:rsidR="00BA6F57" w:rsidRPr="00235690">
        <w:t>, it</w:t>
      </w:r>
      <w:r w:rsidR="00B96FAE" w:rsidRPr="00235690">
        <w:t xml:space="preserve"> is </w:t>
      </w:r>
      <w:r w:rsidR="0061038B" w:rsidRPr="00235690">
        <w:t>thus</w:t>
      </w:r>
      <w:r w:rsidR="00BA6F57" w:rsidRPr="00235690">
        <w:t xml:space="preserve"> </w:t>
      </w:r>
      <w:r w:rsidR="00B96FAE" w:rsidRPr="00235690">
        <w:t>misleading to analys</w:t>
      </w:r>
      <w:r w:rsidR="00286D91" w:rsidRPr="00235690">
        <w:t xml:space="preserve">e lifecycle financing through public transfers </w:t>
      </w:r>
      <w:r w:rsidR="00BA6F57" w:rsidRPr="00235690">
        <w:t>only</w:t>
      </w:r>
      <w:r w:rsidR="00286D91" w:rsidRPr="00235690">
        <w:t xml:space="preserve">. </w:t>
      </w:r>
    </w:p>
    <w:p w14:paraId="494D93DE" w14:textId="7DEC2193" w:rsidR="00846FED" w:rsidRPr="00235690" w:rsidRDefault="00846FED" w:rsidP="00235690">
      <w:pPr>
        <w:spacing w:after="200" w:line="360" w:lineRule="auto"/>
        <w:ind w:firstLine="0"/>
        <w:jc w:val="left"/>
        <w:rPr>
          <w:rFonts w:eastAsiaTheme="majorEastAsia"/>
          <w:b/>
          <w:bCs/>
        </w:rPr>
      </w:pPr>
      <w:bookmarkStart w:id="22" w:name="_Toc455585811"/>
      <w:bookmarkStart w:id="23" w:name="_Toc473385532"/>
    </w:p>
    <w:p w14:paraId="2E8D371C" w14:textId="3C11FE58" w:rsidR="00BA5221" w:rsidRPr="00235690" w:rsidRDefault="001E2CD3" w:rsidP="00235690">
      <w:pPr>
        <w:pStyle w:val="Heading2"/>
        <w:spacing w:line="360" w:lineRule="auto"/>
        <w:rPr>
          <w:i/>
        </w:rPr>
      </w:pPr>
      <w:r w:rsidRPr="00235690">
        <w:t>Conclusions</w:t>
      </w:r>
      <w:bookmarkEnd w:id="22"/>
      <w:r w:rsidRPr="00235690">
        <w:t xml:space="preserve">: </w:t>
      </w:r>
      <w:r w:rsidR="0082624D" w:rsidRPr="00235690">
        <w:t>why not</w:t>
      </w:r>
      <w:r w:rsidR="00BA6F57" w:rsidRPr="00235690">
        <w:t xml:space="preserve"> </w:t>
      </w:r>
      <w:r w:rsidR="00BA6F57" w:rsidRPr="00235690">
        <w:rPr>
          <w:i/>
        </w:rPr>
        <w:t xml:space="preserve">more </w:t>
      </w:r>
      <w:r w:rsidR="00BA6F57" w:rsidRPr="00235690">
        <w:t>socialization of child</w:t>
      </w:r>
      <w:r w:rsidR="0082624D" w:rsidRPr="00235690">
        <w:t xml:space="preserve"> rearing</w:t>
      </w:r>
      <w:r w:rsidR="00BA6F57" w:rsidRPr="00235690">
        <w:t>?</w:t>
      </w:r>
      <w:bookmarkEnd w:id="23"/>
    </w:p>
    <w:p w14:paraId="1A9C8A11" w14:textId="03F18CBD" w:rsidR="002920E1" w:rsidRPr="00235690" w:rsidRDefault="00CD4AEF" w:rsidP="00235690">
      <w:pPr>
        <w:spacing w:line="360" w:lineRule="auto"/>
        <w:ind w:firstLine="0"/>
      </w:pPr>
      <w:r w:rsidRPr="00235690">
        <w:rPr>
          <w:rFonts w:eastAsia="Times New Roman"/>
          <w:color w:val="222222"/>
          <w:lang w:eastAsia="hu-HU"/>
        </w:rPr>
        <w:t>C</w:t>
      </w:r>
      <w:r w:rsidR="00286D91" w:rsidRPr="00235690">
        <w:rPr>
          <w:rFonts w:eastAsia="Times New Roman"/>
          <w:color w:val="222222"/>
          <w:lang w:eastAsia="hu-HU"/>
        </w:rPr>
        <w:t xml:space="preserve">ontrary to widely held perceptions, children </w:t>
      </w:r>
      <w:r w:rsidRPr="00235690">
        <w:rPr>
          <w:rFonts w:eastAsia="Times New Roman"/>
          <w:color w:val="222222"/>
          <w:lang w:eastAsia="hu-HU"/>
        </w:rPr>
        <w:t xml:space="preserve">receive more resources per capita </w:t>
      </w:r>
      <w:r w:rsidR="00706A15" w:rsidRPr="00235690">
        <w:rPr>
          <w:rFonts w:eastAsia="Times New Roman"/>
          <w:color w:val="222222"/>
          <w:lang w:eastAsia="hu-HU"/>
        </w:rPr>
        <w:t xml:space="preserve">than </w:t>
      </w:r>
      <w:r w:rsidR="00BA6F57" w:rsidRPr="00235690">
        <w:rPr>
          <w:rFonts w:eastAsia="Times New Roman"/>
          <w:color w:val="222222"/>
          <w:lang w:eastAsia="hu-HU"/>
        </w:rPr>
        <w:t>older persons in Euro</w:t>
      </w:r>
      <w:r w:rsidR="00706A15" w:rsidRPr="00235690">
        <w:rPr>
          <w:rFonts w:eastAsia="Times New Roman"/>
          <w:color w:val="222222"/>
          <w:lang w:eastAsia="hu-HU"/>
        </w:rPr>
        <w:t>pe</w:t>
      </w:r>
      <w:r w:rsidR="00286D91" w:rsidRPr="00235690">
        <w:rPr>
          <w:rFonts w:eastAsia="Times New Roman"/>
          <w:color w:val="222222"/>
          <w:lang w:eastAsia="hu-HU"/>
        </w:rPr>
        <w:t>. Ou</w:t>
      </w:r>
      <w:r w:rsidR="00286D91" w:rsidRPr="00235690">
        <w:t>r findings do not</w:t>
      </w:r>
      <w:r w:rsidR="00AF5AA2" w:rsidRPr="00235690">
        <w:t xml:space="preserve"> </w:t>
      </w:r>
      <w:r w:rsidR="00BA6F57" w:rsidRPr="00235690">
        <w:t>refute</w:t>
      </w:r>
      <w:r w:rsidRPr="00235690">
        <w:t xml:space="preserve"> </w:t>
      </w:r>
      <w:r w:rsidR="009777CD" w:rsidRPr="00235690">
        <w:t>th</w:t>
      </w:r>
      <w:r w:rsidR="00BD45F9" w:rsidRPr="00235690">
        <w:t xml:space="preserve">e key propositions of </w:t>
      </w:r>
      <w:r w:rsidR="009777CD" w:rsidRPr="00235690">
        <w:t xml:space="preserve">either the </w:t>
      </w:r>
      <w:r w:rsidRPr="00235690">
        <w:t xml:space="preserve">elderly bias </w:t>
      </w:r>
      <w:r w:rsidR="00AF5AA2" w:rsidRPr="00235690">
        <w:t>or the social investment literatures</w:t>
      </w:r>
      <w:r w:rsidR="005E2A9B" w:rsidRPr="00235690">
        <w:t xml:space="preserve">. </w:t>
      </w:r>
      <w:r w:rsidR="007E30D1" w:rsidRPr="00235690">
        <w:t xml:space="preserve">Welfare states, </w:t>
      </w:r>
      <w:r w:rsidR="007E30D1" w:rsidRPr="00235690">
        <w:rPr>
          <w:i/>
        </w:rPr>
        <w:t>as</w:t>
      </w:r>
      <w:r w:rsidR="007E30D1" w:rsidRPr="00235690">
        <w:t xml:space="preserve"> welfare states, may indeed have undergone a paradigm shift towards policies aiming to boost productivity through investment in human capital and skills (</w:t>
      </w:r>
      <w:proofErr w:type="spellStart"/>
      <w:r w:rsidR="007E30D1" w:rsidRPr="00235690">
        <w:t>Esping</w:t>
      </w:r>
      <w:proofErr w:type="spellEnd"/>
      <w:r w:rsidR="007E30D1" w:rsidRPr="00235690">
        <w:t>-Andersen 2002</w:t>
      </w:r>
      <w:r w:rsidR="001C0D0E" w:rsidRPr="00235690">
        <w:t>,</w:t>
      </w:r>
      <w:r w:rsidR="007E30D1" w:rsidRPr="00235690">
        <w:t xml:space="preserve"> 2009; Morel</w:t>
      </w:r>
      <w:r w:rsidR="00204126" w:rsidRPr="00235690">
        <w:t xml:space="preserve"> </w:t>
      </w:r>
      <w:r w:rsidR="00204126" w:rsidRPr="00235690">
        <w:rPr>
          <w:i/>
        </w:rPr>
        <w:t>et al</w:t>
      </w:r>
      <w:r w:rsidR="00204126" w:rsidRPr="00235690">
        <w:t xml:space="preserve">. </w:t>
      </w:r>
      <w:r w:rsidR="007E30D1" w:rsidRPr="00235690">
        <w:t xml:space="preserve">2012), while at the same time transferring most resources to </w:t>
      </w:r>
      <w:r w:rsidR="00BA6F57" w:rsidRPr="00235690">
        <w:t xml:space="preserve">older persons </w:t>
      </w:r>
      <w:r w:rsidR="007E30D1" w:rsidRPr="00235690">
        <w:t xml:space="preserve">(Lynch 2006; Tepe and Vanhuysse 2010; Vanhuysse 2013). </w:t>
      </w:r>
      <w:r w:rsidR="005E2A9B" w:rsidRPr="00235690">
        <w:t>B</w:t>
      </w:r>
      <w:r w:rsidR="009777CD" w:rsidRPr="00235690">
        <w:t>ut</w:t>
      </w:r>
      <w:r w:rsidR="005E2A9B" w:rsidRPr="00235690">
        <w:t xml:space="preserve"> </w:t>
      </w:r>
      <w:r w:rsidR="007E30D1" w:rsidRPr="00235690">
        <w:t xml:space="preserve">our findings do </w:t>
      </w:r>
      <w:r w:rsidR="009777CD" w:rsidRPr="00235690">
        <w:t xml:space="preserve">suggest that these literatures might be in danger of looking for a lost </w:t>
      </w:r>
      <w:r w:rsidR="00202E43" w:rsidRPr="00235690">
        <w:t xml:space="preserve">car </w:t>
      </w:r>
      <w:r w:rsidR="009777CD" w:rsidRPr="00235690">
        <w:t xml:space="preserve">key </w:t>
      </w:r>
      <w:r w:rsidR="005E2A9B" w:rsidRPr="00235690">
        <w:t xml:space="preserve">only </w:t>
      </w:r>
      <w:r w:rsidR="00A13B40" w:rsidRPr="00235690">
        <w:t>where</w:t>
      </w:r>
      <w:r w:rsidR="009777CD" w:rsidRPr="00235690">
        <w:t xml:space="preserve"> the </w:t>
      </w:r>
      <w:r w:rsidR="005E2A9B" w:rsidRPr="00235690">
        <w:t>street</w:t>
      </w:r>
      <w:r w:rsidR="009777CD" w:rsidRPr="00235690">
        <w:t xml:space="preserve">light </w:t>
      </w:r>
      <w:r w:rsidR="00A13B40" w:rsidRPr="00235690">
        <w:t>shines</w:t>
      </w:r>
      <w:r w:rsidR="009777CD" w:rsidRPr="00235690">
        <w:t xml:space="preserve">. </w:t>
      </w:r>
      <w:r w:rsidR="00BA6F57" w:rsidRPr="00235690">
        <w:t>P</w:t>
      </w:r>
      <w:r w:rsidR="00286D91" w:rsidRPr="00235690">
        <w:t>ublic transfer data</w:t>
      </w:r>
      <w:r w:rsidR="003F1281" w:rsidRPr="00235690">
        <w:t xml:space="preserve"> </w:t>
      </w:r>
      <w:r w:rsidR="00286D91" w:rsidRPr="00235690">
        <w:t>alone offer a highly incomplete</w:t>
      </w:r>
      <w:r w:rsidR="00286D91" w:rsidRPr="00235690">
        <w:rPr>
          <w:i/>
        </w:rPr>
        <w:t xml:space="preserve"> </w:t>
      </w:r>
      <w:r w:rsidR="00286D91" w:rsidRPr="00235690">
        <w:t xml:space="preserve">picture of </w:t>
      </w:r>
      <w:r w:rsidR="00BD45F9" w:rsidRPr="00235690">
        <w:t xml:space="preserve">what societies accomplish in terms of </w:t>
      </w:r>
      <w:r w:rsidR="00286D91" w:rsidRPr="00235690">
        <w:t>intergenerational transfers</w:t>
      </w:r>
      <w:r w:rsidR="00BA6F57" w:rsidRPr="00235690">
        <w:t xml:space="preserve"> and investment </w:t>
      </w:r>
      <w:r w:rsidR="002920E1" w:rsidRPr="00235690">
        <w:t>in the</w:t>
      </w:r>
      <w:r w:rsidR="003F1281" w:rsidRPr="00235690">
        <w:t xml:space="preserve"> productive </w:t>
      </w:r>
      <w:r w:rsidR="009777CD" w:rsidRPr="00235690">
        <w:t xml:space="preserve">human capital of </w:t>
      </w:r>
      <w:r w:rsidR="00BB5A42" w:rsidRPr="00235690">
        <w:t>(</w:t>
      </w:r>
      <w:r w:rsidR="00BA6F57" w:rsidRPr="00235690">
        <w:t>f</w:t>
      </w:r>
      <w:r w:rsidR="009777CD" w:rsidRPr="00235690">
        <w:t>uture</w:t>
      </w:r>
      <w:r w:rsidR="00BB5A42" w:rsidRPr="00235690">
        <w:t>)</w:t>
      </w:r>
      <w:r w:rsidR="009777CD" w:rsidRPr="00235690">
        <w:t xml:space="preserve"> workers</w:t>
      </w:r>
      <w:r w:rsidR="00BB5A42" w:rsidRPr="00235690">
        <w:t>. A</w:t>
      </w:r>
      <w:r w:rsidR="00BA5221" w:rsidRPr="00235690">
        <w:t>ny</w:t>
      </w:r>
      <w:r w:rsidR="00202E43" w:rsidRPr="00235690">
        <w:t xml:space="preserve"> apparent</w:t>
      </w:r>
      <w:r w:rsidR="00BD45F9" w:rsidRPr="00235690">
        <w:rPr>
          <w:rFonts w:eastAsia="Times New Roman"/>
        </w:rPr>
        <w:t xml:space="preserve"> </w:t>
      </w:r>
      <w:r w:rsidR="00286D91" w:rsidRPr="00235690">
        <w:t xml:space="preserve">pro-elderly </w:t>
      </w:r>
      <w:r w:rsidR="00BA5221" w:rsidRPr="00235690">
        <w:t xml:space="preserve">welfare state </w:t>
      </w:r>
      <w:r w:rsidR="00286D91" w:rsidRPr="00235690">
        <w:t>bias is the consequence of the asymmetric socialization of intergenerational transfers and the</w:t>
      </w:r>
      <w:r w:rsidR="009C56CE" w:rsidRPr="00235690">
        <w:t>ir</w:t>
      </w:r>
      <w:r w:rsidR="00286D91" w:rsidRPr="00235690">
        <w:t xml:space="preserve"> resulting asymmetric visibility in National Accounts.</w:t>
      </w:r>
      <w:r w:rsidRPr="00235690">
        <w:rPr>
          <w:rFonts w:eastAsia="Times New Roman"/>
        </w:rPr>
        <w:t xml:space="preserve"> </w:t>
      </w:r>
      <w:r w:rsidR="003F1281" w:rsidRPr="00235690">
        <w:rPr>
          <w:rFonts w:eastAsia="Times New Roman"/>
        </w:rPr>
        <w:t>O</w:t>
      </w:r>
      <w:r w:rsidR="00286D91" w:rsidRPr="00235690">
        <w:rPr>
          <w:rFonts w:eastAsia="Times New Roman"/>
        </w:rPr>
        <w:t xml:space="preserve">nce one </w:t>
      </w:r>
      <w:r w:rsidR="005E2A9B" w:rsidRPr="00235690">
        <w:rPr>
          <w:rFonts w:eastAsia="Times New Roman"/>
        </w:rPr>
        <w:t xml:space="preserve">shines a light also on </w:t>
      </w:r>
      <w:r w:rsidR="00286D91" w:rsidRPr="00235690">
        <w:rPr>
          <w:rFonts w:eastAsia="Times New Roman"/>
        </w:rPr>
        <w:t>private cash and time transfers</w:t>
      </w:r>
      <w:r w:rsidR="00286D91" w:rsidRPr="00235690">
        <w:t xml:space="preserve">, conclusions are </w:t>
      </w:r>
      <w:r w:rsidR="005E2A9B" w:rsidRPr="00235690">
        <w:t>radically</w:t>
      </w:r>
      <w:r w:rsidR="00286D91" w:rsidRPr="00235690">
        <w:t xml:space="preserve"> different. European societies, as </w:t>
      </w:r>
      <w:r w:rsidR="00286D91" w:rsidRPr="00235690">
        <w:rPr>
          <w:i/>
        </w:rPr>
        <w:t>societies,</w:t>
      </w:r>
      <w:r w:rsidR="00286D91" w:rsidRPr="00235690">
        <w:t xml:space="preserve"> transfer more than twice as many resources </w:t>
      </w:r>
      <w:r w:rsidR="003F1281" w:rsidRPr="00235690">
        <w:t>on average to each</w:t>
      </w:r>
      <w:r w:rsidRPr="00235690">
        <w:t xml:space="preserve"> child</w:t>
      </w:r>
      <w:r w:rsidR="00286D91" w:rsidRPr="00235690">
        <w:t xml:space="preserve"> </w:t>
      </w:r>
      <w:r w:rsidR="00BA6F57" w:rsidRPr="00235690">
        <w:t>as to each o</w:t>
      </w:r>
      <w:r w:rsidRPr="00235690">
        <w:t>lder person</w:t>
      </w:r>
      <w:r w:rsidR="00286D91" w:rsidRPr="00235690">
        <w:t>.</w:t>
      </w:r>
      <w:r w:rsidR="0040758E" w:rsidRPr="00235690">
        <w:t xml:space="preserve"> </w:t>
      </w:r>
    </w:p>
    <w:p w14:paraId="101BF843" w14:textId="53185BD6" w:rsidR="004F662A" w:rsidRPr="00235690" w:rsidRDefault="00681220" w:rsidP="00235690">
      <w:pPr>
        <w:spacing w:line="360" w:lineRule="auto"/>
      </w:pPr>
      <w:r>
        <w:t xml:space="preserve">In terms of their later </w:t>
      </w:r>
      <w:r w:rsidR="007E1ECD">
        <w:t>benefits</w:t>
      </w:r>
      <w:r>
        <w:t>,</w:t>
      </w:r>
      <w:r w:rsidR="007E1ECD">
        <w:t xml:space="preserve"> c</w:t>
      </w:r>
      <w:r w:rsidR="002920E1" w:rsidRPr="00235690">
        <w:t>hildren are public goods</w:t>
      </w:r>
      <w:r w:rsidR="007E1ECD">
        <w:t xml:space="preserve"> (</w:t>
      </w:r>
      <w:proofErr w:type="spellStart"/>
      <w:r w:rsidR="007E1ECD">
        <w:t>Folbre</w:t>
      </w:r>
      <w:proofErr w:type="spellEnd"/>
      <w:r w:rsidR="007E1ECD">
        <w:t xml:space="preserve"> 1994), or more precisely, deliberately and forcibly socialized goods (</w:t>
      </w:r>
      <w:proofErr w:type="spellStart"/>
      <w:r w:rsidR="007E1ECD">
        <w:t>Olsarettti</w:t>
      </w:r>
      <w:proofErr w:type="spellEnd"/>
      <w:r w:rsidR="007E1ECD">
        <w:t xml:space="preserve"> 2013). Y</w:t>
      </w:r>
      <w:r w:rsidR="003D3D3E" w:rsidRPr="00235690">
        <w:t>et</w:t>
      </w:r>
      <w:r w:rsidR="002920E1" w:rsidRPr="00235690">
        <w:t xml:space="preserve"> the bulk of investment in </w:t>
      </w:r>
      <w:r w:rsidR="007E1ECD">
        <w:t>children</w:t>
      </w:r>
      <w:r w:rsidR="002920E1" w:rsidRPr="00235690">
        <w:t xml:space="preserve"> is not by states but by households. </w:t>
      </w:r>
      <w:r w:rsidR="0040758E" w:rsidRPr="00235690">
        <w:t>Prescriptively, these findings indicate that there is still much scope left for states to step in to assist or com</w:t>
      </w:r>
      <w:r w:rsidR="003D3D3E" w:rsidRPr="00235690">
        <w:t>plement families in boosting</w:t>
      </w:r>
      <w:r w:rsidR="0040758E" w:rsidRPr="00235690">
        <w:t xml:space="preserve"> cognitive and non-cognitive </w:t>
      </w:r>
      <w:r w:rsidR="002920E1" w:rsidRPr="00235690">
        <w:t>human capital</w:t>
      </w:r>
      <w:r w:rsidR="0040758E" w:rsidRPr="00235690">
        <w:t>, through the various (early) education, training and work-family reconciliation policies discussed in the social investment l</w:t>
      </w:r>
      <w:r w:rsidR="00706A15" w:rsidRPr="00235690">
        <w:t>iterature</w:t>
      </w:r>
      <w:r w:rsidR="0040758E" w:rsidRPr="00235690">
        <w:t xml:space="preserve">. </w:t>
      </w:r>
      <w:r w:rsidR="00706A15" w:rsidRPr="00235690">
        <w:t xml:space="preserve">Skill formation is characterized by dynamic </w:t>
      </w:r>
      <w:proofErr w:type="spellStart"/>
      <w:r w:rsidR="00706A15" w:rsidRPr="00235690">
        <w:t>complementaries</w:t>
      </w:r>
      <w:proofErr w:type="spellEnd"/>
      <w:r w:rsidR="00706A15" w:rsidRPr="00235690">
        <w:t xml:space="preserve"> and is a strongly cumulative process: 'Skill begets skill: early learning makes later learning easier and more effective' (</w:t>
      </w:r>
      <w:proofErr w:type="spellStart"/>
      <w:r w:rsidR="00706A15" w:rsidRPr="00235690">
        <w:t>Carneiro</w:t>
      </w:r>
      <w:proofErr w:type="spellEnd"/>
      <w:r w:rsidR="00706A15" w:rsidRPr="00235690">
        <w:t xml:space="preserve"> and Heckman 2003: 90). </w:t>
      </w:r>
      <w:r w:rsidR="004F662A" w:rsidRPr="00235690">
        <w:rPr>
          <w:color w:val="000000"/>
          <w:lang w:val="en-US"/>
        </w:rPr>
        <w:t>W</w:t>
      </w:r>
      <w:r w:rsidR="004F662A" w:rsidRPr="00235690">
        <w:rPr>
          <w:lang w:val="en-US"/>
        </w:rPr>
        <w:t xml:space="preserve">hile </w:t>
      </w:r>
      <w:r w:rsidR="00F0333D" w:rsidRPr="00235690">
        <w:rPr>
          <w:lang w:val="en-US"/>
        </w:rPr>
        <w:t>e</w:t>
      </w:r>
      <w:r w:rsidR="004F662A" w:rsidRPr="00235690">
        <w:rPr>
          <w:lang w:val="en-US"/>
        </w:rPr>
        <w:t>arly</w:t>
      </w:r>
      <w:r w:rsidR="00F0333D" w:rsidRPr="00235690">
        <w:rPr>
          <w:lang w:val="en-US"/>
        </w:rPr>
        <w:t xml:space="preserve"> childhood</w:t>
      </w:r>
      <w:r w:rsidR="004F662A" w:rsidRPr="00235690">
        <w:rPr>
          <w:lang w:val="en-US"/>
        </w:rPr>
        <w:t xml:space="preserve"> is </w:t>
      </w:r>
      <w:r w:rsidR="00D44FE8" w:rsidRPr="00235690">
        <w:rPr>
          <w:lang w:val="en-US"/>
        </w:rPr>
        <w:t xml:space="preserve">therefore </w:t>
      </w:r>
      <w:r w:rsidR="004F662A" w:rsidRPr="00235690">
        <w:rPr>
          <w:lang w:val="en-US"/>
        </w:rPr>
        <w:t xml:space="preserve">crucial for the effectiveness of </w:t>
      </w:r>
      <w:r w:rsidR="00057E16" w:rsidRPr="00235690">
        <w:rPr>
          <w:lang w:val="en-US"/>
        </w:rPr>
        <w:t>social investment</w:t>
      </w:r>
      <w:r w:rsidR="004F662A" w:rsidRPr="00235690">
        <w:rPr>
          <w:lang w:val="en-US"/>
        </w:rPr>
        <w:t>, continuity is needed throughout childhood and early youth (</w:t>
      </w:r>
      <w:proofErr w:type="spellStart"/>
      <w:r w:rsidR="004F662A" w:rsidRPr="00235690">
        <w:rPr>
          <w:lang w:val="en-US"/>
        </w:rPr>
        <w:t>Farkas</w:t>
      </w:r>
      <w:proofErr w:type="spellEnd"/>
      <w:r w:rsidR="004F662A" w:rsidRPr="00235690">
        <w:rPr>
          <w:lang w:val="en-US"/>
        </w:rPr>
        <w:t xml:space="preserve"> 2011) into early adoles</w:t>
      </w:r>
      <w:r w:rsidR="008F5DEB" w:rsidRPr="00235690">
        <w:rPr>
          <w:lang w:val="en-US"/>
        </w:rPr>
        <w:t xml:space="preserve">cence (Bailey and </w:t>
      </w:r>
      <w:proofErr w:type="spellStart"/>
      <w:r w:rsidR="008F5DEB" w:rsidRPr="00235690">
        <w:rPr>
          <w:lang w:val="en-US"/>
        </w:rPr>
        <w:t>Dynarski</w:t>
      </w:r>
      <w:proofErr w:type="spellEnd"/>
      <w:r w:rsidR="008F5DEB" w:rsidRPr="00235690">
        <w:rPr>
          <w:lang w:val="en-US"/>
        </w:rPr>
        <w:t xml:space="preserve"> 2011</w:t>
      </w:r>
      <w:r w:rsidR="004F662A" w:rsidRPr="00235690">
        <w:rPr>
          <w:lang w:val="en-US"/>
        </w:rPr>
        <w:t xml:space="preserve">). </w:t>
      </w:r>
      <w:r w:rsidR="008F5DEB" w:rsidRPr="00235690">
        <w:rPr>
          <w:lang w:val="en-US"/>
        </w:rPr>
        <w:t>E</w:t>
      </w:r>
      <w:r w:rsidR="004F662A" w:rsidRPr="00235690">
        <w:rPr>
          <w:lang w:val="en-US"/>
        </w:rPr>
        <w:t xml:space="preserve">ffect sizes of policy interventions may </w:t>
      </w:r>
      <w:r w:rsidR="00057E16" w:rsidRPr="00235690">
        <w:rPr>
          <w:lang w:val="en-US"/>
        </w:rPr>
        <w:t xml:space="preserve">go down </w:t>
      </w:r>
      <w:r w:rsidR="004F662A" w:rsidRPr="00235690">
        <w:rPr>
          <w:lang w:val="en-US"/>
        </w:rPr>
        <w:t xml:space="preserve">during primary and middle school ages, </w:t>
      </w:r>
      <w:r w:rsidR="008F5DEB" w:rsidRPr="00235690">
        <w:rPr>
          <w:lang w:val="en-US"/>
        </w:rPr>
        <w:t xml:space="preserve">but </w:t>
      </w:r>
      <w:r w:rsidR="004F662A" w:rsidRPr="00235690">
        <w:rPr>
          <w:lang w:val="en-US"/>
        </w:rPr>
        <w:t xml:space="preserve">the causal mechanisms are similar. </w:t>
      </w:r>
      <w:r w:rsidR="00057E16" w:rsidRPr="00235690">
        <w:rPr>
          <w:lang w:val="en-US"/>
        </w:rPr>
        <w:t>For instance</w:t>
      </w:r>
      <w:r w:rsidR="004F662A" w:rsidRPr="00235690">
        <w:rPr>
          <w:lang w:val="en-US"/>
        </w:rPr>
        <w:t>, test scores, be</w:t>
      </w:r>
      <w:r w:rsidR="008F5DEB" w:rsidRPr="00235690">
        <w:rPr>
          <w:lang w:val="en-US"/>
        </w:rPr>
        <w:t>haviors,</w:t>
      </w:r>
      <w:r w:rsidR="004F662A" w:rsidRPr="00235690">
        <w:rPr>
          <w:lang w:val="en-US"/>
        </w:rPr>
        <w:t xml:space="preserve"> attitudes, and curriculum enrolment of middle and high school students are key predictors of later schooling</w:t>
      </w:r>
      <w:r w:rsidR="00057E16" w:rsidRPr="00235690">
        <w:rPr>
          <w:lang w:val="en-US"/>
        </w:rPr>
        <w:t>, criminal</w:t>
      </w:r>
      <w:r w:rsidR="004F662A" w:rsidRPr="00235690">
        <w:rPr>
          <w:lang w:val="en-US"/>
        </w:rPr>
        <w:t xml:space="preserve"> and labor market outcomes </w:t>
      </w:r>
      <w:r w:rsidR="004F662A" w:rsidRPr="00235690">
        <w:rPr>
          <w:lang w:val="en-US"/>
        </w:rPr>
        <w:lastRenderedPageBreak/>
        <w:t>(</w:t>
      </w:r>
      <w:proofErr w:type="spellStart"/>
      <w:r w:rsidR="004F662A" w:rsidRPr="00235690">
        <w:rPr>
          <w:lang w:val="en-US"/>
        </w:rPr>
        <w:t>Farkas</w:t>
      </w:r>
      <w:proofErr w:type="spellEnd"/>
      <w:r w:rsidR="004F662A" w:rsidRPr="00235690">
        <w:rPr>
          <w:lang w:val="en-US"/>
        </w:rPr>
        <w:t xml:space="preserve"> 2011).</w:t>
      </w:r>
      <w:r w:rsidR="008F5DEB" w:rsidRPr="00235690">
        <w:rPr>
          <w:lang w:val="en-US"/>
        </w:rPr>
        <w:t xml:space="preserve"> Social investment </w:t>
      </w:r>
      <w:r w:rsidR="00AE4CAA" w:rsidRPr="00235690">
        <w:rPr>
          <w:lang w:val="en-US"/>
        </w:rPr>
        <w:t xml:space="preserve">may </w:t>
      </w:r>
      <w:r w:rsidR="008F5DEB" w:rsidRPr="00235690">
        <w:rPr>
          <w:lang w:val="en-US"/>
        </w:rPr>
        <w:t xml:space="preserve">also </w:t>
      </w:r>
      <w:r w:rsidR="00AE4CAA" w:rsidRPr="00235690">
        <w:rPr>
          <w:lang w:val="en-US"/>
        </w:rPr>
        <w:t>have</w:t>
      </w:r>
      <w:r w:rsidR="004F662A" w:rsidRPr="00235690">
        <w:rPr>
          <w:lang w:val="en-US"/>
        </w:rPr>
        <w:t xml:space="preserve"> </w:t>
      </w:r>
      <w:r w:rsidR="00AE4CAA" w:rsidRPr="00235690">
        <w:rPr>
          <w:lang w:val="en-US"/>
        </w:rPr>
        <w:t xml:space="preserve">a </w:t>
      </w:r>
      <w:r w:rsidR="004F662A" w:rsidRPr="00235690">
        <w:rPr>
          <w:lang w:val="en-US"/>
        </w:rPr>
        <w:t xml:space="preserve">differential impact </w:t>
      </w:r>
      <w:r w:rsidR="00AE4CAA" w:rsidRPr="00235690">
        <w:rPr>
          <w:lang w:val="en-US"/>
        </w:rPr>
        <w:t>across</w:t>
      </w:r>
      <w:r w:rsidR="008F5DEB" w:rsidRPr="00235690">
        <w:rPr>
          <w:lang w:val="en-US"/>
        </w:rPr>
        <w:t xml:space="preserve"> childhood</w:t>
      </w:r>
      <w:r w:rsidR="00AE4CAA" w:rsidRPr="00235690">
        <w:rPr>
          <w:lang w:val="en-US"/>
        </w:rPr>
        <w:t xml:space="preserve"> (Vanhuysse 2015). C</w:t>
      </w:r>
      <w:r w:rsidR="004F662A" w:rsidRPr="00235690">
        <w:rPr>
          <w:lang w:val="en-US"/>
        </w:rPr>
        <w:t>ognitive abil</w:t>
      </w:r>
      <w:r w:rsidR="00AE4CAA" w:rsidRPr="00235690">
        <w:rPr>
          <w:lang w:val="en-US"/>
        </w:rPr>
        <w:t>ities appear to be malleable</w:t>
      </w:r>
      <w:r w:rsidR="0082624D" w:rsidRPr="00235690">
        <w:rPr>
          <w:lang w:val="en-US"/>
        </w:rPr>
        <w:t xml:space="preserve"> predominantly</w:t>
      </w:r>
      <w:r w:rsidR="00AE4CAA" w:rsidRPr="00235690">
        <w:rPr>
          <w:lang w:val="en-US"/>
        </w:rPr>
        <w:t xml:space="preserve"> </w:t>
      </w:r>
      <w:r w:rsidR="004F662A" w:rsidRPr="00235690">
        <w:rPr>
          <w:lang w:val="en-US"/>
        </w:rPr>
        <w:t>during early child</w:t>
      </w:r>
      <w:r w:rsidR="008F5DEB" w:rsidRPr="00235690">
        <w:rPr>
          <w:lang w:val="en-US"/>
        </w:rPr>
        <w:t>hood (</w:t>
      </w:r>
      <w:r w:rsidR="004F662A" w:rsidRPr="00235690">
        <w:rPr>
          <w:lang w:val="en-US"/>
        </w:rPr>
        <w:t>Duncan and Magnuson 2013)</w:t>
      </w:r>
      <w:r w:rsidR="0082624D" w:rsidRPr="00235690">
        <w:rPr>
          <w:lang w:val="en-US"/>
        </w:rPr>
        <w:t>, b</w:t>
      </w:r>
      <w:r w:rsidR="00AE4CAA" w:rsidRPr="00235690">
        <w:rPr>
          <w:lang w:val="en-US"/>
        </w:rPr>
        <w:t>ut key</w:t>
      </w:r>
      <w:r w:rsidR="004F662A" w:rsidRPr="00235690">
        <w:rPr>
          <w:lang w:val="en-US"/>
        </w:rPr>
        <w:t xml:space="preserve"> </w:t>
      </w:r>
      <w:proofErr w:type="spellStart"/>
      <w:r w:rsidR="004F662A" w:rsidRPr="00235690">
        <w:rPr>
          <w:lang w:val="en-US"/>
        </w:rPr>
        <w:t>noncognitive</w:t>
      </w:r>
      <w:proofErr w:type="spellEnd"/>
      <w:r w:rsidR="004F662A" w:rsidRPr="00235690">
        <w:rPr>
          <w:lang w:val="en-US"/>
        </w:rPr>
        <w:t xml:space="preserve"> skills </w:t>
      </w:r>
      <w:r w:rsidR="00F0333D" w:rsidRPr="00235690">
        <w:rPr>
          <w:lang w:val="en-US"/>
        </w:rPr>
        <w:t xml:space="preserve">seem </w:t>
      </w:r>
      <w:r w:rsidR="004F662A" w:rsidRPr="00235690">
        <w:rPr>
          <w:lang w:val="en-US"/>
        </w:rPr>
        <w:t>re</w:t>
      </w:r>
      <w:r w:rsidR="00F0333D" w:rsidRPr="00235690">
        <w:rPr>
          <w:lang w:val="en-US"/>
        </w:rPr>
        <w:t>sponsive to well-designed</w:t>
      </w:r>
      <w:r w:rsidR="004F662A" w:rsidRPr="00235690">
        <w:rPr>
          <w:lang w:val="en-US"/>
        </w:rPr>
        <w:t xml:space="preserve"> intervention</w:t>
      </w:r>
      <w:r w:rsidR="00F0333D" w:rsidRPr="00235690">
        <w:rPr>
          <w:lang w:val="en-US"/>
        </w:rPr>
        <w:t>s</w:t>
      </w:r>
      <w:r w:rsidR="004F662A" w:rsidRPr="00235690">
        <w:rPr>
          <w:lang w:val="en-US"/>
        </w:rPr>
        <w:t xml:space="preserve"> much longer</w:t>
      </w:r>
      <w:r w:rsidR="00F0333D" w:rsidRPr="00235690">
        <w:rPr>
          <w:lang w:val="en-US"/>
        </w:rPr>
        <w:t>,</w:t>
      </w:r>
      <w:r w:rsidR="004F662A" w:rsidRPr="00235690">
        <w:rPr>
          <w:lang w:val="en-US"/>
        </w:rPr>
        <w:t xml:space="preserve"> until at least late adolescence (Heckman 2013, </w:t>
      </w:r>
      <w:proofErr w:type="spellStart"/>
      <w:r w:rsidR="004F662A" w:rsidRPr="00235690">
        <w:rPr>
          <w:lang w:val="en-US"/>
        </w:rPr>
        <w:t>Dweck</w:t>
      </w:r>
      <w:proofErr w:type="spellEnd"/>
      <w:r w:rsidR="004F662A" w:rsidRPr="00235690">
        <w:rPr>
          <w:lang w:val="en-US"/>
        </w:rPr>
        <w:t xml:space="preserve"> 2012). </w:t>
      </w:r>
    </w:p>
    <w:p w14:paraId="26A7F772" w14:textId="72D88181" w:rsidR="002C1A4A" w:rsidRPr="00235690" w:rsidRDefault="002C1A4A" w:rsidP="00235690">
      <w:pPr>
        <w:spacing w:line="360" w:lineRule="auto"/>
        <w:rPr>
          <w:color w:val="000000"/>
        </w:rPr>
      </w:pPr>
      <w:r w:rsidRPr="00235690">
        <w:t>E</w:t>
      </w:r>
      <w:r w:rsidR="00286D91" w:rsidRPr="00235690">
        <w:t xml:space="preserve">conomic models </w:t>
      </w:r>
      <w:r w:rsidR="00FF3A23" w:rsidRPr="00235690">
        <w:t xml:space="preserve">of human capital </w:t>
      </w:r>
      <w:r w:rsidR="00846FED" w:rsidRPr="00235690">
        <w:t>tend t</w:t>
      </w:r>
      <w:r w:rsidR="00286D91" w:rsidRPr="00235690">
        <w:t xml:space="preserve">o explain the </w:t>
      </w:r>
      <w:r w:rsidR="00B60AAA" w:rsidRPr="00235690">
        <w:t xml:space="preserve">emergence </w:t>
      </w:r>
      <w:r w:rsidR="00286D91" w:rsidRPr="00235690">
        <w:t xml:space="preserve">of intergenerational </w:t>
      </w:r>
      <w:r w:rsidR="00286D91" w:rsidRPr="00235690">
        <w:rPr>
          <w:i/>
        </w:rPr>
        <w:t xml:space="preserve">social </w:t>
      </w:r>
      <w:r w:rsidR="00091544" w:rsidRPr="00235690">
        <w:t>policies for the young (</w:t>
      </w:r>
      <w:r w:rsidR="00FF3A23" w:rsidRPr="00235690">
        <w:t xml:space="preserve">e.g. </w:t>
      </w:r>
      <w:r w:rsidR="00E00958" w:rsidRPr="00235690">
        <w:t>Goldin and Katz 2008</w:t>
      </w:r>
      <w:r w:rsidR="00286D91" w:rsidRPr="00235690">
        <w:t xml:space="preserve">). </w:t>
      </w:r>
      <w:r w:rsidR="00286D91" w:rsidRPr="00235690">
        <w:rPr>
          <w:color w:val="000000"/>
        </w:rPr>
        <w:t xml:space="preserve">In </w:t>
      </w:r>
      <w:r w:rsidR="00E00958" w:rsidRPr="00235690">
        <w:t>Becker and Murphy’s (1988)</w:t>
      </w:r>
      <w:r w:rsidR="00286D91" w:rsidRPr="00235690">
        <w:rPr>
          <w:color w:val="000000"/>
        </w:rPr>
        <w:t xml:space="preserve"> account, in the absence of reliable and enforceable long-term contracts, welfare states have historically evolved in order to provide a public (cross-sectional) solution to the problem of transferring private resources from ‘producers’ to economically less powerful younger ‘dependents’ over the life cycle. </w:t>
      </w:r>
      <w:r w:rsidR="00286D91" w:rsidRPr="00235690">
        <w:t>Lee (2012</w:t>
      </w:r>
      <w:r w:rsidR="00CD4AEF" w:rsidRPr="00235690">
        <w:t xml:space="preserve">: </w:t>
      </w:r>
      <w:r w:rsidR="00286D91" w:rsidRPr="00235690">
        <w:t xml:space="preserve">26) argues that cooperative child rearing has paved the way for the emergence of the welfare state as an institutional improvement over, private family care for young dependents. </w:t>
      </w:r>
      <w:r w:rsidR="00A13B40" w:rsidRPr="00235690">
        <w:rPr>
          <w:color w:val="000000"/>
        </w:rPr>
        <w:t>T</w:t>
      </w:r>
      <w:r w:rsidR="00286D91" w:rsidRPr="00235690">
        <w:rPr>
          <w:color w:val="000000"/>
        </w:rPr>
        <w:t>hese</w:t>
      </w:r>
      <w:r w:rsidRPr="00235690">
        <w:rPr>
          <w:color w:val="000000"/>
        </w:rPr>
        <w:t xml:space="preserve"> models</w:t>
      </w:r>
      <w:r w:rsidR="00202E43" w:rsidRPr="00235690">
        <w:rPr>
          <w:color w:val="000000"/>
        </w:rPr>
        <w:t xml:space="preserve"> </w:t>
      </w:r>
      <w:r w:rsidR="00AF06C3" w:rsidRPr="00235690">
        <w:rPr>
          <w:color w:val="000000"/>
        </w:rPr>
        <w:t>provide plausi</w:t>
      </w:r>
      <w:r w:rsidR="00202E43" w:rsidRPr="00235690">
        <w:rPr>
          <w:color w:val="000000"/>
        </w:rPr>
        <w:t>ble accounts of the historical development of state policies for children</w:t>
      </w:r>
      <w:r w:rsidR="00750D6C" w:rsidRPr="00235690">
        <w:rPr>
          <w:color w:val="000000"/>
        </w:rPr>
        <w:t>. But they</w:t>
      </w:r>
      <w:r w:rsidR="00202E43" w:rsidRPr="00235690">
        <w:rPr>
          <w:color w:val="000000"/>
        </w:rPr>
        <w:t xml:space="preserve"> </w:t>
      </w:r>
      <w:r w:rsidR="00286D91" w:rsidRPr="00235690">
        <w:rPr>
          <w:color w:val="000000"/>
        </w:rPr>
        <w:t>do not explain why</w:t>
      </w:r>
      <w:r w:rsidR="00202E43" w:rsidRPr="00235690">
        <w:rPr>
          <w:color w:val="000000"/>
        </w:rPr>
        <w:t>, empirically,</w:t>
      </w:r>
      <w:r w:rsidR="00286D91" w:rsidRPr="00235690">
        <w:rPr>
          <w:color w:val="000000"/>
        </w:rPr>
        <w:t xml:space="preserve"> it is families, not states, who still take upon themselves the overwhelming share of resource transfers to younger generations.</w:t>
      </w:r>
      <w:r w:rsidR="009E01E9" w:rsidRPr="00235690">
        <w:rPr>
          <w:color w:val="000000"/>
        </w:rPr>
        <w:t xml:space="preserve"> </w:t>
      </w:r>
    </w:p>
    <w:p w14:paraId="1985D7E7" w14:textId="6A09A881" w:rsidR="00286D91" w:rsidRPr="00235690" w:rsidRDefault="002920E1" w:rsidP="00235690">
      <w:pPr>
        <w:spacing w:line="360" w:lineRule="auto"/>
      </w:pPr>
      <w:r w:rsidRPr="00235690">
        <w:t xml:space="preserve">Given the positive externalities that children </w:t>
      </w:r>
      <w:r w:rsidR="008B1FC0" w:rsidRPr="00235690">
        <w:t xml:space="preserve">will later </w:t>
      </w:r>
      <w:r w:rsidRPr="00235690">
        <w:t xml:space="preserve">bring to </w:t>
      </w:r>
      <w:r w:rsidR="008B1FC0" w:rsidRPr="00235690">
        <w:t xml:space="preserve">all of </w:t>
      </w:r>
      <w:r w:rsidRPr="00235690">
        <w:t>society, w</w:t>
      </w:r>
      <w:r w:rsidR="009E01E9" w:rsidRPr="00235690">
        <w:t>hy</w:t>
      </w:r>
      <w:r w:rsidR="009E01E9" w:rsidRPr="00235690">
        <w:rPr>
          <w:i/>
        </w:rPr>
        <w:t xml:space="preserve"> so little </w:t>
      </w:r>
      <w:r w:rsidR="009E01E9" w:rsidRPr="00235690">
        <w:t>socialization of child care</w:t>
      </w:r>
      <w:r w:rsidR="00E34C96" w:rsidRPr="00235690">
        <w:t xml:space="preserve"> and early </w:t>
      </w:r>
      <w:r w:rsidR="00C576AA" w:rsidRPr="00235690">
        <w:t>human capital</w:t>
      </w:r>
      <w:r w:rsidR="00E34C96" w:rsidRPr="00235690">
        <w:t xml:space="preserve"> investment</w:t>
      </w:r>
      <w:r w:rsidR="009E01E9" w:rsidRPr="00235690">
        <w:t>?</w:t>
      </w:r>
      <w:r w:rsidR="00286D91" w:rsidRPr="00235690">
        <w:t xml:space="preserve"> Interestingly, the traditional private model of child rearing has reasserted itself even in communities originally set up explicitly to deny or modify it. For instance, in a number of egalitarian collective childrearing communities founded in the 1960s and 1970s, commune member mothers ended up expressing even stronger preferences than mothers in ordinary household forms for caring for their </w:t>
      </w:r>
      <w:r w:rsidR="00286D91" w:rsidRPr="00235690">
        <w:rPr>
          <w:i/>
        </w:rPr>
        <w:t>own</w:t>
      </w:r>
      <w:r w:rsidR="00286D91" w:rsidRPr="00235690">
        <w:t xml:space="preserve"> biological children (Cohen and </w:t>
      </w:r>
      <w:proofErr w:type="spellStart"/>
      <w:r w:rsidR="00286D91" w:rsidRPr="00235690">
        <w:t>Eiduson</w:t>
      </w:r>
      <w:proofErr w:type="spellEnd"/>
      <w:r w:rsidR="00286D91" w:rsidRPr="00235690">
        <w:t xml:space="preserve"> 1976). The originally radical Israeli kibbutzim model of collective rearing by multiple non-kin caregivers of even very small children was gradually diluted over time to allow ever greater parental involvement including home sleeping, until the whole system was abandoned in the 1980s (</w:t>
      </w:r>
      <w:proofErr w:type="spellStart"/>
      <w:r w:rsidR="00286D91" w:rsidRPr="00235690">
        <w:t>Aviezer</w:t>
      </w:r>
      <w:proofErr w:type="spellEnd"/>
      <w:r w:rsidR="00286D91" w:rsidRPr="00235690">
        <w:t xml:space="preserve"> </w:t>
      </w:r>
      <w:r w:rsidR="00286D91" w:rsidRPr="00235690">
        <w:rPr>
          <w:i/>
        </w:rPr>
        <w:t>et al</w:t>
      </w:r>
      <w:r w:rsidR="00286D91" w:rsidRPr="00235690">
        <w:t>. 1994; Beit-</w:t>
      </w:r>
      <w:proofErr w:type="spellStart"/>
      <w:r w:rsidR="00286D91" w:rsidRPr="00235690">
        <w:t>Hallahmi</w:t>
      </w:r>
      <w:proofErr w:type="spellEnd"/>
      <w:r w:rsidR="00286D91" w:rsidRPr="00235690">
        <w:t xml:space="preserve"> and Rabin 1977). </w:t>
      </w:r>
    </w:p>
    <w:p w14:paraId="3EB88904" w14:textId="1EB269AF" w:rsidR="00286D91" w:rsidRPr="00235690" w:rsidRDefault="00286D91" w:rsidP="00235690">
      <w:pPr>
        <w:spacing w:line="360" w:lineRule="auto"/>
      </w:pPr>
      <w:r w:rsidRPr="00235690">
        <w:t xml:space="preserve">We have highlighted that the puzzle of primary theoretical interest is why </w:t>
      </w:r>
      <w:r w:rsidR="00E34C96" w:rsidRPr="00235690">
        <w:t xml:space="preserve">early </w:t>
      </w:r>
      <w:r w:rsidR="00FF3A23" w:rsidRPr="00235690">
        <w:t xml:space="preserve">human capital investment </w:t>
      </w:r>
      <w:r w:rsidRPr="00235690">
        <w:t>ha</w:t>
      </w:r>
      <w:r w:rsidR="002920E1" w:rsidRPr="00235690">
        <w:t>s</w:t>
      </w:r>
      <w:r w:rsidRPr="00235690">
        <w:t xml:space="preserve"> not been socialized much </w:t>
      </w:r>
      <w:r w:rsidRPr="00235690">
        <w:rPr>
          <w:i/>
        </w:rPr>
        <w:t>more</w:t>
      </w:r>
      <w:r w:rsidRPr="00235690">
        <w:t xml:space="preserve"> than we ca</w:t>
      </w:r>
      <w:r w:rsidR="002920E1" w:rsidRPr="00235690">
        <w:t xml:space="preserve">n observe in reality. </w:t>
      </w:r>
      <w:r w:rsidR="00D938D2" w:rsidRPr="00235690">
        <w:t xml:space="preserve">Notwithstanding the ‘social investment states’ paradigm shift </w:t>
      </w:r>
      <w:r w:rsidR="00A42B4A" w:rsidRPr="00235690">
        <w:t xml:space="preserve">extensively </w:t>
      </w:r>
      <w:r w:rsidR="00D938D2" w:rsidRPr="00235690">
        <w:t>analysed in this collection, e</w:t>
      </w:r>
      <w:r w:rsidRPr="00235690">
        <w:t xml:space="preserve">ven </w:t>
      </w:r>
      <w:r w:rsidR="00A13B40" w:rsidRPr="00235690">
        <w:t xml:space="preserve">spending on </w:t>
      </w:r>
      <w:r w:rsidR="00F0333D" w:rsidRPr="00235690">
        <w:t>social programs with</w:t>
      </w:r>
      <w:r w:rsidR="002920E1" w:rsidRPr="00235690">
        <w:t xml:space="preserve"> </w:t>
      </w:r>
      <w:r w:rsidR="00A42B4A" w:rsidRPr="00235690">
        <w:t xml:space="preserve">remarkable </w:t>
      </w:r>
      <w:r w:rsidRPr="00235690">
        <w:t>social rates of return</w:t>
      </w:r>
      <w:r w:rsidR="00FF3A23" w:rsidRPr="00235690">
        <w:t>,</w:t>
      </w:r>
      <w:r w:rsidRPr="00235690">
        <w:t xml:space="preserve"> such as early childhood </w:t>
      </w:r>
      <w:r w:rsidR="00F0333D" w:rsidRPr="00235690">
        <w:t>education</w:t>
      </w:r>
      <w:r w:rsidR="002920E1" w:rsidRPr="00235690">
        <w:t>,</w:t>
      </w:r>
      <w:r w:rsidRPr="00235690">
        <w:t xml:space="preserve"> </w:t>
      </w:r>
      <w:r w:rsidR="00D938D2" w:rsidRPr="00235690">
        <w:t xml:space="preserve">still </w:t>
      </w:r>
      <w:r w:rsidRPr="00235690">
        <w:t>remain</w:t>
      </w:r>
      <w:r w:rsidR="00D938D2" w:rsidRPr="00235690">
        <w:t>s</w:t>
      </w:r>
      <w:r w:rsidRPr="00235690">
        <w:t xml:space="preserve"> marginal </w:t>
      </w:r>
      <w:r w:rsidR="008B1FC0" w:rsidRPr="00235690">
        <w:t>as a share of GDP in the</w:t>
      </w:r>
      <w:r w:rsidR="00A13B40" w:rsidRPr="00235690">
        <w:t xml:space="preserve"> </w:t>
      </w:r>
      <w:r w:rsidR="00F0333D" w:rsidRPr="00235690">
        <w:t xml:space="preserve">advanced </w:t>
      </w:r>
      <w:r w:rsidR="008B1FC0" w:rsidRPr="00235690">
        <w:t>democracies</w:t>
      </w:r>
      <w:r w:rsidR="00F0333D" w:rsidRPr="00235690">
        <w:t>, with the</w:t>
      </w:r>
      <w:r w:rsidRPr="00235690">
        <w:t xml:space="preserve"> exception of Nordic Europe (</w:t>
      </w:r>
      <w:r w:rsidR="002920E1" w:rsidRPr="00235690">
        <w:t xml:space="preserve">Heckman 2000, 2004, 2013; </w:t>
      </w:r>
      <w:r w:rsidRPr="00235690">
        <w:t xml:space="preserve">Vanhuysse 2015). </w:t>
      </w:r>
      <w:r w:rsidR="002920E1" w:rsidRPr="00235690">
        <w:t xml:space="preserve">The strong present-bias of actors and institutions in democracies is undoubtedly </w:t>
      </w:r>
      <w:r w:rsidR="00D51000" w:rsidRPr="00235690">
        <w:t>one</w:t>
      </w:r>
      <w:r w:rsidR="002920E1" w:rsidRPr="00235690">
        <w:t xml:space="preserve"> </w:t>
      </w:r>
      <w:r w:rsidR="002920E1" w:rsidRPr="00235690">
        <w:lastRenderedPageBreak/>
        <w:t>key factor (Gonzalez-</w:t>
      </w:r>
      <w:proofErr w:type="spellStart"/>
      <w:r w:rsidR="002920E1" w:rsidRPr="00235690">
        <w:t>Ricoy</w:t>
      </w:r>
      <w:proofErr w:type="spellEnd"/>
      <w:r w:rsidR="002920E1" w:rsidRPr="00235690">
        <w:t xml:space="preserve"> and </w:t>
      </w:r>
      <w:proofErr w:type="spellStart"/>
      <w:r w:rsidR="002920E1" w:rsidRPr="00235690">
        <w:t>Gosseries</w:t>
      </w:r>
      <w:proofErr w:type="spellEnd"/>
      <w:r w:rsidR="00D51000" w:rsidRPr="00235690">
        <w:t xml:space="preserve"> </w:t>
      </w:r>
      <w:r w:rsidR="002920E1" w:rsidRPr="00235690">
        <w:t>2016). One</w:t>
      </w:r>
      <w:r w:rsidR="00D51000" w:rsidRPr="00235690">
        <w:t xml:space="preserve"> </w:t>
      </w:r>
      <w:r w:rsidR="002920E1" w:rsidRPr="00235690">
        <w:t>can</w:t>
      </w:r>
      <w:r w:rsidR="00D51000" w:rsidRPr="00235690">
        <w:t xml:space="preserve"> a</w:t>
      </w:r>
      <w:r w:rsidR="002920E1" w:rsidRPr="00235690">
        <w:t>lso</w:t>
      </w:r>
      <w:r w:rsidR="00D51000" w:rsidRPr="00235690">
        <w:t xml:space="preserve"> speculate that the long-term </w:t>
      </w:r>
      <w:r w:rsidRPr="00235690">
        <w:t xml:space="preserve">retreat </w:t>
      </w:r>
      <w:r w:rsidR="00D51000" w:rsidRPr="00235690">
        <w:t xml:space="preserve">away from multigenerational households to (ever-smaller) nuclear families </w:t>
      </w:r>
      <w:r w:rsidRPr="00235690">
        <w:t xml:space="preserve">has been accompanied by </w:t>
      </w:r>
      <w:r w:rsidR="008B1FC0" w:rsidRPr="00235690">
        <w:t xml:space="preserve">an increase in public provision and </w:t>
      </w:r>
      <w:r w:rsidRPr="00235690">
        <w:t>a decrease in the importance of local community and larger kinship – the original cooperative child rearing units</w:t>
      </w:r>
      <w:r w:rsidR="00E34C96" w:rsidRPr="00235690">
        <w:t xml:space="preserve"> (Coleman 1990). At the same time, </w:t>
      </w:r>
      <w:r w:rsidR="00D2615D" w:rsidRPr="00235690">
        <w:t xml:space="preserve">women have become </w:t>
      </w:r>
      <w:r w:rsidR="00E34C96" w:rsidRPr="00235690">
        <w:t xml:space="preserve">much </w:t>
      </w:r>
      <w:r w:rsidR="00D2615D" w:rsidRPr="00235690">
        <w:t>more active on the labour market</w:t>
      </w:r>
      <w:r w:rsidR="00E34C96" w:rsidRPr="00235690">
        <w:t xml:space="preserve">, while not reducing their unpaid household </w:t>
      </w:r>
      <w:proofErr w:type="spellStart"/>
      <w:r w:rsidR="00E34C96" w:rsidRPr="00235690">
        <w:t>labor</w:t>
      </w:r>
      <w:proofErr w:type="spellEnd"/>
      <w:r w:rsidR="00E34C96" w:rsidRPr="00235690">
        <w:t xml:space="preserve"> </w:t>
      </w:r>
      <w:r w:rsidR="008F08A3" w:rsidRPr="00235690">
        <w:t>to</w:t>
      </w:r>
      <w:r w:rsidR="00E34C96" w:rsidRPr="00235690">
        <w:t xml:space="preserve"> anything like a proportionate </w:t>
      </w:r>
      <w:r w:rsidR="008F08A3" w:rsidRPr="00235690">
        <w:t>degree</w:t>
      </w:r>
      <w:r w:rsidR="00E34C96" w:rsidRPr="00235690">
        <w:t xml:space="preserve"> (</w:t>
      </w:r>
      <w:proofErr w:type="spellStart"/>
      <w:r w:rsidR="001C0D0E" w:rsidRPr="00235690">
        <w:t>Esping</w:t>
      </w:r>
      <w:proofErr w:type="spellEnd"/>
      <w:r w:rsidR="001C0D0E" w:rsidRPr="00235690">
        <w:t>-Andersen 2009,</w:t>
      </w:r>
      <w:r w:rsidR="002C1A4A" w:rsidRPr="00235690">
        <w:t xml:space="preserve"> 2015)</w:t>
      </w:r>
      <w:r w:rsidR="00D2615D" w:rsidRPr="00235690">
        <w:t>.</w:t>
      </w:r>
    </w:p>
    <w:p w14:paraId="486D3EF6" w14:textId="2CB5C891" w:rsidR="00286D91" w:rsidRPr="00235690" w:rsidRDefault="00E34C96" w:rsidP="00235690">
      <w:pPr>
        <w:spacing w:line="360" w:lineRule="auto"/>
        <w:rPr>
          <w:bCs/>
        </w:rPr>
      </w:pPr>
      <w:r w:rsidRPr="00235690">
        <w:t xml:space="preserve">There is ample evidence of </w:t>
      </w:r>
      <w:r w:rsidR="00286D91" w:rsidRPr="00235690">
        <w:t>‘overworked’ Americans (</w:t>
      </w:r>
      <w:proofErr w:type="spellStart"/>
      <w:r w:rsidR="00286D91" w:rsidRPr="00235690">
        <w:t>Schor</w:t>
      </w:r>
      <w:proofErr w:type="spellEnd"/>
      <w:r w:rsidR="00286D91" w:rsidRPr="00235690">
        <w:t xml:space="preserve"> 1991) or Israelis, Mexicans, Greeks and Brits (</w:t>
      </w:r>
      <w:proofErr w:type="spellStart"/>
      <w:r w:rsidR="00286D91" w:rsidRPr="00235690">
        <w:t>Frase</w:t>
      </w:r>
      <w:proofErr w:type="spellEnd"/>
      <w:r w:rsidR="00286D91" w:rsidRPr="00235690">
        <w:t xml:space="preserve"> and </w:t>
      </w:r>
      <w:proofErr w:type="spellStart"/>
      <w:r w:rsidR="00286D91" w:rsidRPr="00235690">
        <w:t>Gornick</w:t>
      </w:r>
      <w:proofErr w:type="spellEnd"/>
      <w:r w:rsidR="00286D91" w:rsidRPr="00235690">
        <w:t xml:space="preserve"> 2013) - mainly women - who spend </w:t>
      </w:r>
      <w:r w:rsidR="00286D91" w:rsidRPr="00235690">
        <w:rPr>
          <w:rFonts w:eastAsia="Times New Roman"/>
        </w:rPr>
        <w:t xml:space="preserve">the ‘rush hour’ of life </w:t>
      </w:r>
      <w:r w:rsidR="00286D91" w:rsidRPr="00235690">
        <w:t xml:space="preserve">in a ‘time bind’ </w:t>
      </w:r>
      <w:r w:rsidR="00286D91" w:rsidRPr="00235690">
        <w:rPr>
          <w:rFonts w:eastAsia="Times New Roman"/>
        </w:rPr>
        <w:t>at work and in their ‘second shift’ at home (</w:t>
      </w:r>
      <w:proofErr w:type="spellStart"/>
      <w:r w:rsidR="001C0D0E" w:rsidRPr="00235690">
        <w:t>Bittman</w:t>
      </w:r>
      <w:proofErr w:type="spellEnd"/>
      <w:r w:rsidR="001C0D0E" w:rsidRPr="00235690">
        <w:t xml:space="preserve"> and </w:t>
      </w:r>
      <w:proofErr w:type="spellStart"/>
      <w:r w:rsidR="001C0D0E" w:rsidRPr="00235690">
        <w:t>Wajcman</w:t>
      </w:r>
      <w:proofErr w:type="spellEnd"/>
      <w:r w:rsidR="001C0D0E" w:rsidRPr="00235690">
        <w:t xml:space="preserve"> 2000; </w:t>
      </w:r>
      <w:proofErr w:type="spellStart"/>
      <w:r w:rsidR="00286D91" w:rsidRPr="00235690">
        <w:t>Hochschild</w:t>
      </w:r>
      <w:proofErr w:type="spellEnd"/>
      <w:r w:rsidR="00286D91" w:rsidRPr="00235690">
        <w:t xml:space="preserve"> 1997)</w:t>
      </w:r>
      <w:r w:rsidR="00286D91" w:rsidRPr="00235690">
        <w:rPr>
          <w:rFonts w:eastAsia="Times New Roman"/>
        </w:rPr>
        <w:t xml:space="preserve">. </w:t>
      </w:r>
      <w:r w:rsidR="00286D91" w:rsidRPr="00235690">
        <w:rPr>
          <w:rFonts w:eastAsia="Times New Roman"/>
          <w:color w:val="222222"/>
          <w:lang w:eastAsia="hu-HU"/>
        </w:rPr>
        <w:t>Our</w:t>
      </w:r>
      <w:r w:rsidR="00E3627B" w:rsidRPr="00235690">
        <w:rPr>
          <w:rFonts w:eastAsia="Times New Roman"/>
          <w:color w:val="222222"/>
          <w:lang w:eastAsia="hu-HU"/>
        </w:rPr>
        <w:t xml:space="preserve"> snapshot</w:t>
      </w:r>
      <w:r w:rsidR="00286D91" w:rsidRPr="00235690">
        <w:rPr>
          <w:rFonts w:eastAsia="Times New Roman"/>
          <w:color w:val="222222"/>
          <w:lang w:eastAsia="hu-HU"/>
        </w:rPr>
        <w:t xml:space="preserve"> account of the </w:t>
      </w:r>
      <w:r w:rsidR="00E3627B" w:rsidRPr="00235690">
        <w:rPr>
          <w:rFonts w:eastAsia="Times New Roman"/>
          <w:color w:val="222222"/>
          <w:lang w:eastAsia="hu-HU"/>
        </w:rPr>
        <w:t xml:space="preserve">complete </w:t>
      </w:r>
      <w:r w:rsidR="00286D91" w:rsidRPr="00235690">
        <w:rPr>
          <w:rFonts w:eastAsia="Times New Roman"/>
          <w:color w:val="222222"/>
          <w:lang w:eastAsia="hu-HU"/>
        </w:rPr>
        <w:t xml:space="preserve">transfer </w:t>
      </w:r>
      <w:r w:rsidR="00D51000" w:rsidRPr="00235690">
        <w:rPr>
          <w:rFonts w:eastAsia="Times New Roman"/>
          <w:color w:val="222222"/>
          <w:lang w:eastAsia="hu-HU"/>
        </w:rPr>
        <w:t xml:space="preserve">burden on </w:t>
      </w:r>
      <w:r w:rsidR="009E01E9" w:rsidRPr="00235690">
        <w:rPr>
          <w:rFonts w:eastAsia="Times New Roman"/>
          <w:color w:val="222222"/>
          <w:lang w:eastAsia="hu-HU"/>
        </w:rPr>
        <w:t xml:space="preserve">the active-aged </w:t>
      </w:r>
      <w:r w:rsidR="00286D91" w:rsidRPr="00235690">
        <w:rPr>
          <w:rFonts w:eastAsia="Times New Roman"/>
          <w:color w:val="222222"/>
          <w:lang w:eastAsia="hu-HU"/>
        </w:rPr>
        <w:t>only serves to strengthen the</w:t>
      </w:r>
      <w:r w:rsidR="009E01E9" w:rsidRPr="00235690">
        <w:rPr>
          <w:rFonts w:eastAsia="Times New Roman"/>
          <w:color w:val="222222"/>
          <w:lang w:eastAsia="hu-HU"/>
        </w:rPr>
        <w:t>se</w:t>
      </w:r>
      <w:r w:rsidR="00286D91" w:rsidRPr="00235690">
        <w:rPr>
          <w:rFonts w:eastAsia="Times New Roman"/>
          <w:color w:val="222222"/>
          <w:lang w:eastAsia="hu-HU"/>
        </w:rPr>
        <w:t xml:space="preserve"> claims. </w:t>
      </w:r>
      <w:r w:rsidR="00286D91" w:rsidRPr="00235690">
        <w:t xml:space="preserve">Clearly, </w:t>
      </w:r>
      <w:r w:rsidR="00D51000" w:rsidRPr="00235690">
        <w:t>gender, parenthood, and class are th</w:t>
      </w:r>
      <w:r w:rsidR="00EF4698" w:rsidRPr="00235690">
        <w:t>e th</w:t>
      </w:r>
      <w:r w:rsidR="00D51000" w:rsidRPr="00235690">
        <w:t>ree elephants in the room</w:t>
      </w:r>
      <w:r w:rsidR="003D3D3E" w:rsidRPr="00235690">
        <w:t xml:space="preserve"> here</w:t>
      </w:r>
      <w:r w:rsidR="00D51000" w:rsidRPr="00235690">
        <w:t>. T</w:t>
      </w:r>
      <w:r w:rsidR="00286D91" w:rsidRPr="00235690">
        <w:t xml:space="preserve">here are additional key differences </w:t>
      </w:r>
      <w:r w:rsidR="003D3D3E" w:rsidRPr="00235690">
        <w:t>in resource contributions</w:t>
      </w:r>
      <w:r w:rsidR="00286D91" w:rsidRPr="00235690">
        <w:t xml:space="preserve">, </w:t>
      </w:r>
      <w:r w:rsidR="00FF3A23" w:rsidRPr="00235690">
        <w:t xml:space="preserve">by far </w:t>
      </w:r>
      <w:r w:rsidR="00286D91" w:rsidRPr="00235690">
        <w:t>most importantly between women and men, but also between parents</w:t>
      </w:r>
      <w:r w:rsidR="009E01E9" w:rsidRPr="00235690">
        <w:t xml:space="preserve"> and non-parents (</w:t>
      </w:r>
      <w:proofErr w:type="spellStart"/>
      <w:r w:rsidR="00FF3A23" w:rsidRPr="00235690">
        <w:rPr>
          <w:bCs/>
        </w:rPr>
        <w:t>Esping</w:t>
      </w:r>
      <w:proofErr w:type="spellEnd"/>
      <w:r w:rsidR="00FF3A23" w:rsidRPr="00235690">
        <w:rPr>
          <w:bCs/>
        </w:rPr>
        <w:t xml:space="preserve">-Andersen 2009; </w:t>
      </w:r>
      <w:proofErr w:type="spellStart"/>
      <w:r w:rsidR="00286D91" w:rsidRPr="00235690">
        <w:t>Folbre</w:t>
      </w:r>
      <w:proofErr w:type="spellEnd"/>
      <w:r w:rsidR="00286D91" w:rsidRPr="00235690">
        <w:t xml:space="preserve"> 1994</w:t>
      </w:r>
      <w:r w:rsidR="001C0D0E" w:rsidRPr="00235690">
        <w:t>,</w:t>
      </w:r>
      <w:r w:rsidR="00286D91" w:rsidRPr="00235690">
        <w:t xml:space="preserve"> 2008). </w:t>
      </w:r>
      <w:r w:rsidR="00373103" w:rsidRPr="00235690">
        <w:t xml:space="preserve">Children in Europe </w:t>
      </w:r>
      <w:r w:rsidR="00D51000" w:rsidRPr="00235690">
        <w:t xml:space="preserve">may </w:t>
      </w:r>
      <w:r w:rsidR="00373103" w:rsidRPr="00235690">
        <w:t>receive nearly half of their net transfers in the form of unpaid household labour</w:t>
      </w:r>
      <w:r w:rsidR="00D51000" w:rsidRPr="00235690">
        <w:t>, but</w:t>
      </w:r>
      <w:r w:rsidR="00373103" w:rsidRPr="00235690">
        <w:t xml:space="preserve"> the overwhelming share of such caring and rearing is performed by </w:t>
      </w:r>
      <w:r w:rsidR="00373103" w:rsidRPr="00235690">
        <w:rPr>
          <w:i/>
        </w:rPr>
        <w:t>women</w:t>
      </w:r>
      <w:r w:rsidR="00373103" w:rsidRPr="00235690">
        <w:t xml:space="preserve">. Europe’s small social investment states </w:t>
      </w:r>
      <w:r w:rsidR="00D51000" w:rsidRPr="00235690">
        <w:t>may</w:t>
      </w:r>
      <w:r w:rsidR="00373103" w:rsidRPr="00235690">
        <w:t xml:space="preserve"> </w:t>
      </w:r>
      <w:r w:rsidR="00D51000" w:rsidRPr="00235690">
        <w:t xml:space="preserve">be </w:t>
      </w:r>
      <w:r w:rsidR="00373103" w:rsidRPr="00235690">
        <w:t>embedded within large child investment societies</w:t>
      </w:r>
      <w:r w:rsidR="00D51000" w:rsidRPr="00235690">
        <w:t xml:space="preserve">, but </w:t>
      </w:r>
      <w:r w:rsidR="00373103" w:rsidRPr="00235690">
        <w:t xml:space="preserve">the latter are primarily </w:t>
      </w:r>
      <w:proofErr w:type="gramStart"/>
      <w:r w:rsidR="00373103" w:rsidRPr="00235690">
        <w:t>motored</w:t>
      </w:r>
      <w:proofErr w:type="gramEnd"/>
      <w:r w:rsidR="00373103" w:rsidRPr="00235690">
        <w:t xml:space="preserve"> by women in families. </w:t>
      </w:r>
      <w:r w:rsidR="00286D91" w:rsidRPr="00235690">
        <w:t xml:space="preserve">Moreover, </w:t>
      </w:r>
      <w:r w:rsidR="000B2369" w:rsidRPr="00235690">
        <w:t xml:space="preserve">as before children face </w:t>
      </w:r>
      <w:r w:rsidR="00F35C0E" w:rsidRPr="00235690">
        <w:t>diverging futures</w:t>
      </w:r>
      <w:r w:rsidR="000B2369" w:rsidRPr="00235690">
        <w:t xml:space="preserve"> </w:t>
      </w:r>
      <w:r w:rsidR="00F35C0E" w:rsidRPr="00235690">
        <w:t>depending on the accident of birth</w:t>
      </w:r>
      <w:r w:rsidR="000B2369" w:rsidRPr="00235690">
        <w:t xml:space="preserve"> (</w:t>
      </w:r>
      <w:proofErr w:type="spellStart"/>
      <w:r w:rsidR="00480865">
        <w:t>McLanahan</w:t>
      </w:r>
      <w:proofErr w:type="spellEnd"/>
      <w:r w:rsidR="00480865">
        <w:t xml:space="preserve"> 2004; </w:t>
      </w:r>
      <w:proofErr w:type="spellStart"/>
      <w:r w:rsidR="000B2369" w:rsidRPr="00235690">
        <w:t>Esping</w:t>
      </w:r>
      <w:proofErr w:type="spellEnd"/>
      <w:r w:rsidR="000B2369" w:rsidRPr="00235690">
        <w:t>-Andersen 2015)</w:t>
      </w:r>
      <w:r w:rsidR="00F35C0E" w:rsidRPr="00235690">
        <w:t>. T</w:t>
      </w:r>
      <w:r w:rsidR="00286D91" w:rsidRPr="00235690">
        <w:t>here is a</w:t>
      </w:r>
      <w:r w:rsidR="00FF3A23" w:rsidRPr="00235690">
        <w:t xml:space="preserve"> strong</w:t>
      </w:r>
      <w:r w:rsidR="000B2369" w:rsidRPr="00235690">
        <w:t>, possibly increasing</w:t>
      </w:r>
      <w:r w:rsidR="00286D91" w:rsidRPr="00235690">
        <w:t xml:space="preserve"> class </w:t>
      </w:r>
      <w:r w:rsidR="000B2369" w:rsidRPr="00235690">
        <w:t>gradient</w:t>
      </w:r>
      <w:r w:rsidR="00286D91" w:rsidRPr="00235690">
        <w:t xml:space="preserve"> to the </w:t>
      </w:r>
      <w:r w:rsidR="00FF3A23" w:rsidRPr="00235690">
        <w:t xml:space="preserve">private </w:t>
      </w:r>
      <w:r w:rsidR="00286D91" w:rsidRPr="00235690">
        <w:t xml:space="preserve">resources spent on children, which is likely to be exacerbated by </w:t>
      </w:r>
      <w:r w:rsidR="00FF3A23" w:rsidRPr="00235690">
        <w:t xml:space="preserve">high </w:t>
      </w:r>
      <w:r w:rsidR="00286D91" w:rsidRPr="00235690">
        <w:rPr>
          <w:bCs/>
        </w:rPr>
        <w:t xml:space="preserve">divorce and single motherhood rates among low-SES </w:t>
      </w:r>
      <w:r w:rsidR="00CC4BB6" w:rsidRPr="00235690">
        <w:rPr>
          <w:bCs/>
        </w:rPr>
        <w:t>groups</w:t>
      </w:r>
      <w:r w:rsidR="00286D91" w:rsidRPr="00235690">
        <w:rPr>
          <w:bCs/>
        </w:rPr>
        <w:t xml:space="preserve"> and increasing educational homogamy in partner choice (</w:t>
      </w:r>
      <w:proofErr w:type="spellStart"/>
      <w:r w:rsidR="001C0D0E" w:rsidRPr="00235690">
        <w:rPr>
          <w:bCs/>
        </w:rPr>
        <w:t>Es</w:t>
      </w:r>
      <w:r w:rsidR="0061038B" w:rsidRPr="00235690">
        <w:rPr>
          <w:bCs/>
        </w:rPr>
        <w:t>ping</w:t>
      </w:r>
      <w:proofErr w:type="spellEnd"/>
      <w:r w:rsidR="0061038B" w:rsidRPr="00235690">
        <w:rPr>
          <w:bCs/>
        </w:rPr>
        <w:t xml:space="preserve">-Andersen </w:t>
      </w:r>
      <w:r w:rsidR="000B2369" w:rsidRPr="00235690">
        <w:rPr>
          <w:bCs/>
        </w:rPr>
        <w:t xml:space="preserve">2009, </w:t>
      </w:r>
      <w:r w:rsidR="0061038B" w:rsidRPr="00235690">
        <w:rPr>
          <w:bCs/>
        </w:rPr>
        <w:t xml:space="preserve">2015; </w:t>
      </w:r>
      <w:proofErr w:type="spellStart"/>
      <w:r w:rsidR="0061038B" w:rsidRPr="00235690">
        <w:rPr>
          <w:bCs/>
        </w:rPr>
        <w:t>Lareau</w:t>
      </w:r>
      <w:proofErr w:type="spellEnd"/>
      <w:r w:rsidR="0061038B" w:rsidRPr="00235690">
        <w:rPr>
          <w:bCs/>
        </w:rPr>
        <w:t xml:space="preserve"> 2003</w:t>
      </w:r>
      <w:r w:rsidR="00286D91" w:rsidRPr="00235690">
        <w:rPr>
          <w:bCs/>
        </w:rPr>
        <w:t xml:space="preserve">). </w:t>
      </w:r>
    </w:p>
    <w:p w14:paraId="2394EF08" w14:textId="16E72484" w:rsidR="00286D91" w:rsidRPr="00235690" w:rsidRDefault="00091544" w:rsidP="00235690">
      <w:pPr>
        <w:spacing w:line="360" w:lineRule="auto"/>
      </w:pPr>
      <w:r w:rsidRPr="00235690">
        <w:t xml:space="preserve">We </w:t>
      </w:r>
      <w:r w:rsidR="00286D91" w:rsidRPr="00235690">
        <w:t>do not have retrospec</w:t>
      </w:r>
      <w:r w:rsidR="00B60AAA" w:rsidRPr="00235690">
        <w:t>tive information describing temporal processes</w:t>
      </w:r>
      <w:r w:rsidR="00286D91" w:rsidRPr="00235690">
        <w:t xml:space="preserve">. </w:t>
      </w:r>
      <w:r w:rsidR="00B61D72" w:rsidRPr="00235690">
        <w:t xml:space="preserve">Are investments in </w:t>
      </w:r>
      <w:r w:rsidR="00286D91" w:rsidRPr="00235690">
        <w:t xml:space="preserve">children </w:t>
      </w:r>
      <w:r w:rsidR="00286D91" w:rsidRPr="00235690">
        <w:rPr>
          <w:i/>
        </w:rPr>
        <w:t>still</w:t>
      </w:r>
      <w:r w:rsidR="00286D91" w:rsidRPr="00235690">
        <w:t xml:space="preserve"> </w:t>
      </w:r>
      <w:r w:rsidR="00B61D72" w:rsidRPr="00235690">
        <w:t>higher</w:t>
      </w:r>
      <w:r w:rsidR="00286D91" w:rsidRPr="00235690">
        <w:t xml:space="preserve"> per capita than </w:t>
      </w:r>
      <w:r w:rsidR="00BB5A42" w:rsidRPr="00235690">
        <w:t>to older persons</w:t>
      </w:r>
      <w:r w:rsidR="00286D91" w:rsidRPr="00235690">
        <w:t xml:space="preserve">, or </w:t>
      </w:r>
      <w:r w:rsidR="00B61D72" w:rsidRPr="00235690">
        <w:t>are</w:t>
      </w:r>
      <w:r w:rsidR="00286D91" w:rsidRPr="00235690">
        <w:t xml:space="preserve"> they </w:t>
      </w:r>
      <w:r w:rsidR="00B61D72" w:rsidRPr="00235690">
        <w:t>higher</w:t>
      </w:r>
      <w:r w:rsidR="00286D91" w:rsidRPr="00235690">
        <w:t xml:space="preserve"> </w:t>
      </w:r>
      <w:r w:rsidR="00286D91" w:rsidRPr="00235690">
        <w:rPr>
          <w:i/>
        </w:rPr>
        <w:t>by now</w:t>
      </w:r>
      <w:r w:rsidR="00286D91" w:rsidRPr="00235690">
        <w:t xml:space="preserve">? </w:t>
      </w:r>
      <w:r w:rsidR="00F41ADE" w:rsidRPr="00235690">
        <w:t xml:space="preserve">Were </w:t>
      </w:r>
      <w:r w:rsidR="00BB5A42" w:rsidRPr="00235690">
        <w:t xml:space="preserve">higher pro-elderly </w:t>
      </w:r>
      <w:r w:rsidR="00286D91" w:rsidRPr="00235690">
        <w:t xml:space="preserve">public transfers a </w:t>
      </w:r>
      <w:r w:rsidR="00F41ADE" w:rsidRPr="00235690">
        <w:t xml:space="preserve">form of </w:t>
      </w:r>
      <w:r w:rsidR="00286D91" w:rsidRPr="00235690">
        <w:t>compensation for los</w:t>
      </w:r>
      <w:r w:rsidR="00B60AAA" w:rsidRPr="00235690">
        <w:t>t</w:t>
      </w:r>
      <w:r w:rsidR="00286D91" w:rsidRPr="00235690">
        <w:t xml:space="preserve"> private and time transfers due to </w:t>
      </w:r>
      <w:r w:rsidR="00BB5A42" w:rsidRPr="00235690">
        <w:t xml:space="preserve">lower </w:t>
      </w:r>
      <w:r w:rsidR="00286D91" w:rsidRPr="00235690">
        <w:t xml:space="preserve">co-habitation </w:t>
      </w:r>
      <w:r w:rsidR="00BB5A42" w:rsidRPr="00235690">
        <w:t xml:space="preserve">levels with </w:t>
      </w:r>
      <w:r w:rsidR="00286D91" w:rsidRPr="00235690">
        <w:t xml:space="preserve">adult children? Although we cannot address these questions, </w:t>
      </w:r>
      <w:r w:rsidRPr="00235690">
        <w:t xml:space="preserve">there is </w:t>
      </w:r>
      <w:r w:rsidR="00F0333D" w:rsidRPr="00235690">
        <w:t>e</w:t>
      </w:r>
      <w:r w:rsidRPr="00235690">
        <w:t xml:space="preserve">vidence that </w:t>
      </w:r>
      <w:r w:rsidR="00286D91" w:rsidRPr="00235690">
        <w:t xml:space="preserve">the average time spent on unpaid household </w:t>
      </w:r>
      <w:r w:rsidR="00B96FAE" w:rsidRPr="00235690">
        <w:t>labour</w:t>
      </w:r>
      <w:r w:rsidR="00E56671" w:rsidRPr="00235690">
        <w:t xml:space="preserve">, but not chores, </w:t>
      </w:r>
      <w:r w:rsidR="00286D91" w:rsidRPr="00235690">
        <w:t xml:space="preserve">has increased </w:t>
      </w:r>
      <w:r w:rsidR="00487291" w:rsidRPr="00235690">
        <w:t>since the 1950s</w:t>
      </w:r>
      <w:r w:rsidR="00286D91" w:rsidRPr="00235690">
        <w:t xml:space="preserve"> </w:t>
      </w:r>
      <w:r w:rsidRPr="00235690">
        <w:t>(</w:t>
      </w:r>
      <w:proofErr w:type="spellStart"/>
      <w:r w:rsidR="00586CDE" w:rsidRPr="00235690">
        <w:t>Gershuny</w:t>
      </w:r>
      <w:proofErr w:type="spellEnd"/>
      <w:r w:rsidRPr="00235690">
        <w:t xml:space="preserve"> 2000)</w:t>
      </w:r>
      <w:r w:rsidR="00286D91" w:rsidRPr="00235690">
        <w:t xml:space="preserve">. </w:t>
      </w:r>
      <w:r w:rsidRPr="00235690">
        <w:t>T</w:t>
      </w:r>
      <w:r w:rsidR="00286D91" w:rsidRPr="00235690">
        <w:t xml:space="preserve">ime transfers </w:t>
      </w:r>
      <w:r w:rsidRPr="00235690">
        <w:t xml:space="preserve">have probably become </w:t>
      </w:r>
      <w:r w:rsidR="00286D91" w:rsidRPr="00235690">
        <w:t xml:space="preserve">more valuable in monetary terms. </w:t>
      </w:r>
      <w:r w:rsidR="00E3627B" w:rsidRPr="00235690">
        <w:t>There are</w:t>
      </w:r>
      <w:r w:rsidR="00E56671" w:rsidRPr="00235690">
        <w:t xml:space="preserve"> clear Becker-</w:t>
      </w:r>
      <w:r w:rsidR="00487291" w:rsidRPr="00235690">
        <w:t xml:space="preserve">Lewis </w:t>
      </w:r>
      <w:r w:rsidR="00E56671" w:rsidRPr="00235690">
        <w:t xml:space="preserve">type </w:t>
      </w:r>
      <w:r w:rsidR="00E3627B" w:rsidRPr="00235690">
        <w:t xml:space="preserve">quantity/quality </w:t>
      </w:r>
      <w:proofErr w:type="spellStart"/>
      <w:r w:rsidR="00E3627B" w:rsidRPr="00235690">
        <w:t>tradeoffs</w:t>
      </w:r>
      <w:proofErr w:type="spellEnd"/>
      <w:r w:rsidR="00487291" w:rsidRPr="00235690">
        <w:t>. L</w:t>
      </w:r>
      <w:r w:rsidR="00286D91" w:rsidRPr="00235690">
        <w:t>ower fertility tends to in</w:t>
      </w:r>
      <w:r w:rsidR="00B60AAA" w:rsidRPr="00235690">
        <w:t xml:space="preserve">crease time transfers </w:t>
      </w:r>
      <w:r w:rsidR="00E56671" w:rsidRPr="00235690">
        <w:t xml:space="preserve">to, and human capital investment in, each </w:t>
      </w:r>
      <w:r w:rsidR="00B60AAA" w:rsidRPr="00235690">
        <w:t>child</w:t>
      </w:r>
      <w:r w:rsidR="00286D91" w:rsidRPr="00235690">
        <w:t xml:space="preserve"> </w:t>
      </w:r>
      <w:r w:rsidR="00B60AAA" w:rsidRPr="00235690">
        <w:t>(</w:t>
      </w:r>
      <w:proofErr w:type="spellStart"/>
      <w:r w:rsidR="00B60AAA" w:rsidRPr="00235690">
        <w:t>Vargha</w:t>
      </w:r>
      <w:proofErr w:type="spellEnd"/>
      <w:r w:rsidR="00B60AAA" w:rsidRPr="00235690">
        <w:t xml:space="preserve"> and </w:t>
      </w:r>
      <w:proofErr w:type="spellStart"/>
      <w:r w:rsidR="00B60AAA" w:rsidRPr="00235690">
        <w:t>Donehower</w:t>
      </w:r>
      <w:proofErr w:type="spellEnd"/>
      <w:r w:rsidR="00B60AAA" w:rsidRPr="00235690">
        <w:t xml:space="preserve"> 2016)</w:t>
      </w:r>
      <w:r w:rsidR="00286D91" w:rsidRPr="00235690">
        <w:t xml:space="preserve">. Future research must </w:t>
      </w:r>
      <w:r w:rsidR="00E3627B" w:rsidRPr="00235690">
        <w:t xml:space="preserve">elucidate </w:t>
      </w:r>
      <w:r w:rsidR="00286D91" w:rsidRPr="00235690">
        <w:t xml:space="preserve">the overall impact </w:t>
      </w:r>
      <w:r w:rsidR="00F0333D" w:rsidRPr="00235690">
        <w:t xml:space="preserve">and the class and gender dimensions </w:t>
      </w:r>
      <w:r w:rsidR="00286D91" w:rsidRPr="00235690">
        <w:t xml:space="preserve">of such developments. </w:t>
      </w:r>
      <w:r w:rsidR="00E56671" w:rsidRPr="00235690">
        <w:t>As they stand</w:t>
      </w:r>
      <w:r w:rsidR="00286D91" w:rsidRPr="00235690">
        <w:t xml:space="preserve">, our results </w:t>
      </w:r>
      <w:r w:rsidR="00E56671" w:rsidRPr="00235690">
        <w:lastRenderedPageBreak/>
        <w:t>significantly modify</w:t>
      </w:r>
      <w:r w:rsidR="00286D91" w:rsidRPr="00235690">
        <w:t xml:space="preserve"> the one-sided storyline of </w:t>
      </w:r>
      <w:r w:rsidR="00DD15B4" w:rsidRPr="00235690">
        <w:t xml:space="preserve">a </w:t>
      </w:r>
      <w:r w:rsidR="00487291" w:rsidRPr="00235690">
        <w:t>creeping</w:t>
      </w:r>
      <w:r w:rsidR="00E56671" w:rsidRPr="00235690">
        <w:t xml:space="preserve"> </w:t>
      </w:r>
      <w:r w:rsidR="00286D91" w:rsidRPr="00235690">
        <w:t>resource grab</w:t>
      </w:r>
      <w:r w:rsidR="003D7799" w:rsidRPr="00235690">
        <w:t xml:space="preserve"> by</w:t>
      </w:r>
      <w:r w:rsidR="00286D91" w:rsidRPr="00235690">
        <w:t xml:space="preserve"> </w:t>
      </w:r>
      <w:r w:rsidR="00487291" w:rsidRPr="00235690">
        <w:t>older</w:t>
      </w:r>
      <w:r w:rsidR="003D7799" w:rsidRPr="00235690">
        <w:t xml:space="preserve"> </w:t>
      </w:r>
      <w:r w:rsidR="00DD15B4" w:rsidRPr="00235690">
        <w:t>citizens</w:t>
      </w:r>
      <w:r w:rsidR="00286D91" w:rsidRPr="00235690">
        <w:t xml:space="preserve">. The growing </w:t>
      </w:r>
      <w:r w:rsidR="00487291" w:rsidRPr="00235690">
        <w:t>public resource</w:t>
      </w:r>
      <w:r w:rsidR="00286D91" w:rsidRPr="00235690">
        <w:t xml:space="preserve"> share of </w:t>
      </w:r>
      <w:r w:rsidR="00487291" w:rsidRPr="00235690">
        <w:t xml:space="preserve">older persons </w:t>
      </w:r>
      <w:r w:rsidR="00286D91" w:rsidRPr="00235690">
        <w:t>might well</w:t>
      </w:r>
      <w:r w:rsidR="00487291" w:rsidRPr="00235690">
        <w:t xml:space="preserve"> have gone in parallel with</w:t>
      </w:r>
      <w:r w:rsidR="00286D91" w:rsidRPr="00235690">
        <w:t xml:space="preserve"> increasing </w:t>
      </w:r>
      <w:r w:rsidR="00E56671" w:rsidRPr="00235690">
        <w:t xml:space="preserve">societal </w:t>
      </w:r>
      <w:r w:rsidR="00286D91" w:rsidRPr="00235690">
        <w:t xml:space="preserve">resources for the young. Notwithstanding </w:t>
      </w:r>
      <w:r w:rsidR="00E56671" w:rsidRPr="00235690">
        <w:t xml:space="preserve">population aging and </w:t>
      </w:r>
      <w:r w:rsidR="00DE0CA1" w:rsidRPr="00235690">
        <w:t>growing</w:t>
      </w:r>
      <w:r w:rsidR="00E56671" w:rsidRPr="00235690">
        <w:t xml:space="preserve"> pro-elderly policy bias, </w:t>
      </w:r>
      <w:r w:rsidR="00286D91" w:rsidRPr="00235690">
        <w:t>the 20</w:t>
      </w:r>
      <w:r w:rsidR="00286D91" w:rsidRPr="00235690">
        <w:rPr>
          <w:vertAlign w:val="superscript"/>
        </w:rPr>
        <w:t>th</w:t>
      </w:r>
      <w:r w:rsidR="00286D91" w:rsidRPr="00235690">
        <w:t xml:space="preserve"> century might have also </w:t>
      </w:r>
      <w:r w:rsidR="007A3691" w:rsidRPr="00235690">
        <w:t>been</w:t>
      </w:r>
      <w:r w:rsidR="00892DF4" w:rsidRPr="00235690">
        <w:t xml:space="preserve"> </w:t>
      </w:r>
      <w:r w:rsidR="00286D91" w:rsidRPr="00235690">
        <w:t>the century of the child, as Ellen Key (</w:t>
      </w:r>
      <w:r w:rsidR="00573191" w:rsidRPr="00235690">
        <w:t>1909</w:t>
      </w:r>
      <w:r w:rsidR="00286D91" w:rsidRPr="00235690">
        <w:t>) predicted at its start</w:t>
      </w:r>
      <w:r w:rsidR="00ED4EE3" w:rsidRPr="00235690">
        <w:t xml:space="preserve">. </w:t>
      </w:r>
    </w:p>
    <w:p w14:paraId="50AC9A7B" w14:textId="13572C02" w:rsidR="000936F0" w:rsidRPr="00235690" w:rsidRDefault="000936F0" w:rsidP="00363CC4">
      <w:pPr>
        <w:spacing w:line="480" w:lineRule="auto"/>
        <w:ind w:firstLine="0"/>
      </w:pPr>
    </w:p>
    <w:p w14:paraId="75BEB46D" w14:textId="77777777" w:rsidR="00235690" w:rsidRPr="00235690" w:rsidRDefault="00235690" w:rsidP="00235690">
      <w:pPr>
        <w:pStyle w:val="Heading2"/>
      </w:pPr>
      <w:bookmarkStart w:id="24" w:name="_Toc455585812"/>
      <w:bookmarkStart w:id="25" w:name="_Toc470785825"/>
      <w:bookmarkStart w:id="26" w:name="_Toc470788398"/>
      <w:bookmarkStart w:id="27" w:name="_Toc470961222"/>
      <w:bookmarkStart w:id="28" w:name="_Toc473385533"/>
      <w:r w:rsidRPr="00235690">
        <w:t>Funding</w:t>
      </w:r>
    </w:p>
    <w:p w14:paraId="301CBC33" w14:textId="77777777" w:rsidR="00235690" w:rsidRPr="00235690" w:rsidRDefault="00235690" w:rsidP="00235690">
      <w:pPr>
        <w:ind w:firstLine="0"/>
      </w:pPr>
      <w:r w:rsidRPr="00235690">
        <w:t>This article was written as part of the AGENTA project funded by the Seventh Framework Programme of the European Union (grant agreement no 613247).</w:t>
      </w:r>
    </w:p>
    <w:p w14:paraId="596CBB14" w14:textId="77777777" w:rsidR="00235690" w:rsidRPr="00235690" w:rsidRDefault="00235690" w:rsidP="00235690">
      <w:pPr>
        <w:pStyle w:val="Heading2"/>
      </w:pPr>
      <w:r w:rsidRPr="00235690">
        <w:t>Acknowledgements</w:t>
      </w:r>
    </w:p>
    <w:p w14:paraId="3B51E434" w14:textId="28E936C5" w:rsidR="00235690" w:rsidRPr="00235690" w:rsidRDefault="00235690" w:rsidP="00235690">
      <w:pPr>
        <w:ind w:firstLine="0"/>
      </w:pPr>
      <w:r w:rsidRPr="00235690">
        <w:t>We are grateful for comments from Marius Busemeyer, Caroline de la Porte, Julian Garritzmann, Kati Kuitto, Birgit Pfau-Effinger and seminar participants at the Max Planck Centre Odense, the FUNCA</w:t>
      </w:r>
      <w:r w:rsidR="007E1ECD">
        <w:t>S</w:t>
      </w:r>
      <w:r w:rsidRPr="00235690">
        <w:t xml:space="preserve"> workshop in Madrid, the universities of Hamburg, Lausanne and Konstanz, and the Hebrew University Jerusalem. Gal is grateful for the hospitality of the Institute of Economic Research of </w:t>
      </w:r>
      <w:proofErr w:type="spellStart"/>
      <w:r w:rsidRPr="00235690">
        <w:t>Hitotsubashi</w:t>
      </w:r>
      <w:proofErr w:type="spellEnd"/>
      <w:r w:rsidRPr="00235690">
        <w:t xml:space="preserve"> University. We thank the following teams for providing NTA data: Bernhard Hammer (Austria), Reijo </w:t>
      </w:r>
      <w:proofErr w:type="spellStart"/>
      <w:r w:rsidRPr="00235690">
        <w:t>Vanne</w:t>
      </w:r>
      <w:proofErr w:type="spellEnd"/>
      <w:r w:rsidRPr="00235690">
        <w:t xml:space="preserve"> and </w:t>
      </w:r>
      <w:proofErr w:type="spellStart"/>
      <w:r w:rsidRPr="00235690">
        <w:t>Risto</w:t>
      </w:r>
      <w:proofErr w:type="spellEnd"/>
      <w:r w:rsidRPr="00235690">
        <w:t xml:space="preserve"> </w:t>
      </w:r>
      <w:proofErr w:type="spellStart"/>
      <w:r w:rsidRPr="00235690">
        <w:t>Vaittinen</w:t>
      </w:r>
      <w:proofErr w:type="spellEnd"/>
      <w:r w:rsidRPr="00235690">
        <w:t xml:space="preserve"> (Finland), </w:t>
      </w:r>
      <w:proofErr w:type="spellStart"/>
      <w:r w:rsidRPr="00235690">
        <w:t>Hyppolite</w:t>
      </w:r>
      <w:proofErr w:type="spellEnd"/>
      <w:r w:rsidRPr="00235690">
        <w:t xml:space="preserve"> </w:t>
      </w:r>
      <w:proofErr w:type="spellStart"/>
      <w:r w:rsidRPr="00235690">
        <w:t>D’Albis</w:t>
      </w:r>
      <w:proofErr w:type="spellEnd"/>
      <w:r w:rsidRPr="00235690">
        <w:t xml:space="preserve"> </w:t>
      </w:r>
      <w:r w:rsidRPr="00235690">
        <w:rPr>
          <w:i/>
        </w:rPr>
        <w:t>et al</w:t>
      </w:r>
      <w:r w:rsidRPr="00235690">
        <w:t xml:space="preserve">. </w:t>
      </w:r>
      <w:r w:rsidRPr="00235690">
        <w:rPr>
          <w:lang w:val="da-DK"/>
        </w:rPr>
        <w:t xml:space="preserve">(France), Fanny Kluge (Germany), Marina Zannella (Italy), Katharina Lisenkova (UK), Jože Sambt (Slovenia), Thomas Lindh </w:t>
      </w:r>
      <w:r w:rsidRPr="00235690">
        <w:rPr>
          <w:i/>
          <w:lang w:val="da-DK"/>
        </w:rPr>
        <w:t>et al</w:t>
      </w:r>
      <w:r w:rsidRPr="00235690">
        <w:rPr>
          <w:lang w:val="da-DK"/>
        </w:rPr>
        <w:t xml:space="preserve">. </w:t>
      </w:r>
      <w:r w:rsidRPr="00235690">
        <w:t xml:space="preserve">(Sweden) and </w:t>
      </w:r>
      <w:proofErr w:type="spellStart"/>
      <w:r w:rsidRPr="00235690">
        <w:t>Ció</w:t>
      </w:r>
      <w:proofErr w:type="spellEnd"/>
      <w:r w:rsidRPr="00235690">
        <w:t xml:space="preserve"> </w:t>
      </w:r>
      <w:proofErr w:type="spellStart"/>
      <w:r w:rsidRPr="00235690">
        <w:t>Patxot</w:t>
      </w:r>
      <w:proofErr w:type="spellEnd"/>
      <w:r w:rsidRPr="00235690">
        <w:t xml:space="preserve"> </w:t>
      </w:r>
      <w:r w:rsidRPr="00235690">
        <w:rPr>
          <w:i/>
        </w:rPr>
        <w:t>et al</w:t>
      </w:r>
      <w:r w:rsidRPr="00235690">
        <w:t>. (Spain). Hungarian data were produced by Róbert Gál and Lili Vargha.</w:t>
      </w:r>
    </w:p>
    <w:p w14:paraId="4FAC74FC" w14:textId="77777777" w:rsidR="00235690" w:rsidRPr="00235690" w:rsidRDefault="00235690" w:rsidP="00235690">
      <w:pPr>
        <w:ind w:firstLine="0"/>
      </w:pPr>
    </w:p>
    <w:p w14:paraId="695723FC" w14:textId="15E6F95D" w:rsidR="00F82E97" w:rsidRPr="00235690" w:rsidRDefault="00F82E97">
      <w:pPr>
        <w:spacing w:after="200" w:line="276" w:lineRule="auto"/>
        <w:ind w:firstLine="0"/>
        <w:jc w:val="left"/>
        <w:rPr>
          <w:rFonts w:eastAsiaTheme="majorEastAsia"/>
          <w:b/>
          <w:bCs/>
        </w:rPr>
      </w:pPr>
    </w:p>
    <w:bookmarkEnd w:id="24"/>
    <w:bookmarkEnd w:id="25"/>
    <w:bookmarkEnd w:id="26"/>
    <w:bookmarkEnd w:id="27"/>
    <w:bookmarkEnd w:id="28"/>
    <w:p w14:paraId="7A623B95" w14:textId="2EB88C37" w:rsidR="005F7521" w:rsidRPr="00235690" w:rsidRDefault="005F7521" w:rsidP="00E4508B">
      <w:pPr>
        <w:spacing w:line="264" w:lineRule="auto"/>
        <w:ind w:firstLine="0"/>
        <w:rPr>
          <w:b/>
        </w:rPr>
      </w:pPr>
      <w:r w:rsidRPr="00235690">
        <w:rPr>
          <w:b/>
        </w:rPr>
        <w:t>FIGURES</w:t>
      </w:r>
    </w:p>
    <w:p w14:paraId="7058BBBB" w14:textId="77777777" w:rsidR="00BF5B91" w:rsidRPr="00235690" w:rsidRDefault="00BF5B91" w:rsidP="00E4508B">
      <w:pPr>
        <w:spacing w:line="264" w:lineRule="auto"/>
        <w:ind w:firstLine="0"/>
      </w:pPr>
    </w:p>
    <w:p w14:paraId="4531D1E7" w14:textId="77777777" w:rsidR="004A7D86" w:rsidRPr="00235690" w:rsidRDefault="004A7D86" w:rsidP="00E4508B">
      <w:pPr>
        <w:spacing w:line="264" w:lineRule="auto"/>
        <w:ind w:firstLine="0"/>
      </w:pPr>
    </w:p>
    <w:p w14:paraId="680BEC2D" w14:textId="77777777" w:rsidR="005F7521" w:rsidRPr="00235690" w:rsidRDefault="005F7521" w:rsidP="00E4508B">
      <w:pPr>
        <w:spacing w:line="264" w:lineRule="auto"/>
        <w:ind w:firstLine="0"/>
      </w:pPr>
      <w:r w:rsidRPr="00235690">
        <w:rPr>
          <w:noProof/>
          <w:lang w:val="en-US"/>
        </w:rPr>
        <w:drawing>
          <wp:inline distT="0" distB="0" distL="0" distR="0" wp14:anchorId="12F0878C" wp14:editId="308CC09B">
            <wp:extent cx="6120130" cy="11887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1188748"/>
                    </a:xfrm>
                    <a:prstGeom prst="rect">
                      <a:avLst/>
                    </a:prstGeom>
                    <a:noFill/>
                    <a:ln>
                      <a:noFill/>
                    </a:ln>
                  </pic:spPr>
                </pic:pic>
              </a:graphicData>
            </a:graphic>
          </wp:inline>
        </w:drawing>
      </w:r>
    </w:p>
    <w:p w14:paraId="2C706293" w14:textId="5D370A6D" w:rsidR="005F7521" w:rsidRPr="00235690" w:rsidRDefault="005F7521" w:rsidP="00E4508B">
      <w:pPr>
        <w:spacing w:line="264" w:lineRule="auto"/>
        <w:ind w:firstLine="0"/>
      </w:pPr>
      <w:proofErr w:type="gramStart"/>
      <w:r w:rsidRPr="00235690">
        <w:rPr>
          <w:b/>
        </w:rPr>
        <w:t>Figure 1</w:t>
      </w:r>
      <w:r w:rsidR="00E4508B" w:rsidRPr="00235690">
        <w:t>.</w:t>
      </w:r>
      <w:proofErr w:type="gramEnd"/>
      <w:r w:rsidRPr="00235690">
        <w:t xml:space="preserve"> Per capita lifecycle deficit, net time transfers, and total lif</w:t>
      </w:r>
      <w:r w:rsidR="00892DF4" w:rsidRPr="00235690">
        <w:t>e</w:t>
      </w:r>
      <w:r w:rsidRPr="00235690">
        <w:t>cycle deficit by age in Europe</w:t>
      </w:r>
      <w:r w:rsidR="00E4508B" w:rsidRPr="00235690">
        <w:t>.</w:t>
      </w:r>
    </w:p>
    <w:p w14:paraId="6E826E47" w14:textId="77777777" w:rsidR="005F7521" w:rsidRPr="00235690" w:rsidRDefault="005F7521" w:rsidP="00E4508B">
      <w:pPr>
        <w:spacing w:line="264" w:lineRule="auto"/>
        <w:ind w:left="284" w:hanging="284"/>
        <w:rPr>
          <w:sz w:val="20"/>
          <w:szCs w:val="20"/>
        </w:rPr>
      </w:pPr>
      <w:r w:rsidRPr="00235690">
        <w:rPr>
          <w:sz w:val="20"/>
          <w:szCs w:val="20"/>
        </w:rPr>
        <w:t>Source: LCD: authors’ calculation based on NTA data (</w:t>
      </w:r>
      <w:hyperlink r:id="rId14" w:history="1">
        <w:r w:rsidRPr="00235690">
          <w:rPr>
            <w:rStyle w:val="Hyperlink"/>
            <w:iCs/>
            <w:color w:val="auto"/>
            <w:sz w:val="20"/>
            <w:szCs w:val="20"/>
            <w:u w:val="none"/>
          </w:rPr>
          <w:t>www.ntaccounts.org</w:t>
        </w:r>
      </w:hyperlink>
      <w:r w:rsidRPr="00235690">
        <w:rPr>
          <w:sz w:val="20"/>
          <w:szCs w:val="20"/>
        </w:rPr>
        <w:t xml:space="preserve">); net time transfers: authors’ calculation based on Vargha </w:t>
      </w:r>
      <w:r w:rsidRPr="00235690">
        <w:rPr>
          <w:i/>
          <w:sz w:val="20"/>
          <w:szCs w:val="20"/>
        </w:rPr>
        <w:t>et al</w:t>
      </w:r>
      <w:r w:rsidRPr="00235690">
        <w:rPr>
          <w:sz w:val="20"/>
          <w:szCs w:val="20"/>
        </w:rPr>
        <w:t xml:space="preserve">. (2016). </w:t>
      </w:r>
    </w:p>
    <w:p w14:paraId="1CCD8192" w14:textId="77777777" w:rsidR="005F7521" w:rsidRPr="00235690" w:rsidRDefault="005F7521" w:rsidP="00E4508B">
      <w:pPr>
        <w:spacing w:line="264" w:lineRule="auto"/>
        <w:ind w:left="284" w:hanging="284"/>
      </w:pPr>
      <w:r w:rsidRPr="00235690">
        <w:rPr>
          <w:sz w:val="20"/>
          <w:szCs w:val="20"/>
        </w:rPr>
        <w:t>Notes: Values are population weighted averages of 10 European countries around 2005 normalized on the per capita market labour income of persons aged 30-49 of the respective country</w:t>
      </w:r>
      <w:r w:rsidRPr="00235690">
        <w:t>.</w:t>
      </w:r>
    </w:p>
    <w:p w14:paraId="02A4C31F" w14:textId="77777777" w:rsidR="00484A2E" w:rsidRPr="00235690" w:rsidRDefault="00484A2E" w:rsidP="00E4508B">
      <w:pPr>
        <w:spacing w:line="264" w:lineRule="auto"/>
        <w:ind w:firstLine="0"/>
      </w:pPr>
    </w:p>
    <w:p w14:paraId="05DE374F" w14:textId="77777777" w:rsidR="00484A2E" w:rsidRPr="00235690" w:rsidRDefault="00484A2E" w:rsidP="00E4508B">
      <w:pPr>
        <w:spacing w:line="264" w:lineRule="auto"/>
        <w:ind w:firstLine="0"/>
      </w:pPr>
    </w:p>
    <w:p w14:paraId="4B516F38" w14:textId="77777777" w:rsidR="00484A2E" w:rsidRPr="00235690" w:rsidRDefault="00484A2E" w:rsidP="00E4508B">
      <w:pPr>
        <w:spacing w:line="264" w:lineRule="auto"/>
        <w:ind w:firstLine="0"/>
      </w:pPr>
    </w:p>
    <w:p w14:paraId="0E24930F" w14:textId="77777777" w:rsidR="00484A2E" w:rsidRPr="00235690" w:rsidRDefault="00484A2E" w:rsidP="00E4508B">
      <w:pPr>
        <w:spacing w:line="264" w:lineRule="auto"/>
        <w:ind w:firstLine="0"/>
      </w:pPr>
      <w:r w:rsidRPr="00235690">
        <w:rPr>
          <w:noProof/>
          <w:lang w:val="en-US"/>
        </w:rPr>
        <w:lastRenderedPageBreak/>
        <w:drawing>
          <wp:inline distT="0" distB="0" distL="0" distR="0" wp14:anchorId="2DADC75F" wp14:editId="7EC64A0B">
            <wp:extent cx="5469255" cy="33985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9255" cy="3398520"/>
                    </a:xfrm>
                    <a:prstGeom prst="rect">
                      <a:avLst/>
                    </a:prstGeom>
                    <a:noFill/>
                    <a:ln>
                      <a:noFill/>
                    </a:ln>
                  </pic:spPr>
                </pic:pic>
              </a:graphicData>
            </a:graphic>
          </wp:inline>
        </w:drawing>
      </w:r>
    </w:p>
    <w:p w14:paraId="2C2A6684" w14:textId="6F17696C" w:rsidR="00484A2E" w:rsidRPr="00235690" w:rsidRDefault="00484A2E" w:rsidP="00E4508B">
      <w:pPr>
        <w:spacing w:line="264" w:lineRule="auto"/>
        <w:ind w:firstLine="0"/>
      </w:pPr>
      <w:proofErr w:type="gramStart"/>
      <w:r w:rsidRPr="00235690">
        <w:rPr>
          <w:b/>
        </w:rPr>
        <w:t>Figure 2</w:t>
      </w:r>
      <w:r w:rsidR="00E4508B" w:rsidRPr="00235690">
        <w:t>.</w:t>
      </w:r>
      <w:proofErr w:type="gramEnd"/>
      <w:r w:rsidRPr="00235690">
        <w:t xml:space="preserve"> </w:t>
      </w:r>
      <w:proofErr w:type="gramStart"/>
      <w:r w:rsidRPr="00235690">
        <w:t>Per capita public, private and time transfers and their contribution to filling the gaps of total lifecycle deficit by age in Europe</w:t>
      </w:r>
      <w:r w:rsidR="00E4508B" w:rsidRPr="00235690">
        <w:t>.</w:t>
      </w:r>
      <w:proofErr w:type="gramEnd"/>
      <w:r w:rsidRPr="00235690">
        <w:t xml:space="preserve"> </w:t>
      </w:r>
    </w:p>
    <w:p w14:paraId="71AB950A" w14:textId="5D3E8706" w:rsidR="00484A2E" w:rsidRPr="00235690" w:rsidRDefault="00484A2E" w:rsidP="00E4508B">
      <w:pPr>
        <w:spacing w:line="264" w:lineRule="auto"/>
        <w:ind w:left="284" w:hanging="284"/>
        <w:rPr>
          <w:sz w:val="20"/>
          <w:szCs w:val="20"/>
        </w:rPr>
      </w:pPr>
      <w:r w:rsidRPr="00235690">
        <w:rPr>
          <w:sz w:val="20"/>
          <w:szCs w:val="20"/>
        </w:rPr>
        <w:t>Source: Authors’ calculation based on NTA data (</w:t>
      </w:r>
      <w:hyperlink r:id="rId16" w:history="1">
        <w:r w:rsidRPr="00235690">
          <w:rPr>
            <w:rStyle w:val="Hyperlink"/>
            <w:iCs/>
            <w:color w:val="auto"/>
            <w:sz w:val="20"/>
            <w:szCs w:val="20"/>
            <w:u w:val="none"/>
          </w:rPr>
          <w:t>www.ntaccounts.org</w:t>
        </w:r>
      </w:hyperlink>
      <w:r w:rsidRPr="00235690">
        <w:rPr>
          <w:sz w:val="20"/>
          <w:szCs w:val="20"/>
        </w:rPr>
        <w:t xml:space="preserve">) and Vargha </w:t>
      </w:r>
      <w:r w:rsidRPr="00235690">
        <w:rPr>
          <w:i/>
          <w:sz w:val="20"/>
          <w:szCs w:val="20"/>
        </w:rPr>
        <w:t>et al</w:t>
      </w:r>
      <w:r w:rsidR="001C0D0E" w:rsidRPr="00235690">
        <w:rPr>
          <w:sz w:val="20"/>
          <w:szCs w:val="20"/>
        </w:rPr>
        <w:t>.</w:t>
      </w:r>
      <w:r w:rsidRPr="00235690">
        <w:rPr>
          <w:sz w:val="20"/>
          <w:szCs w:val="20"/>
        </w:rPr>
        <w:t xml:space="preserve"> (2016). </w:t>
      </w:r>
    </w:p>
    <w:p w14:paraId="5E819E96" w14:textId="5F0CA2B4" w:rsidR="00484A2E" w:rsidRPr="00235690" w:rsidRDefault="00484A2E" w:rsidP="00E4508B">
      <w:pPr>
        <w:spacing w:line="264" w:lineRule="auto"/>
        <w:ind w:left="284" w:hanging="284"/>
      </w:pPr>
      <w:r w:rsidRPr="00235690">
        <w:rPr>
          <w:sz w:val="20"/>
          <w:szCs w:val="20"/>
        </w:rPr>
        <w:t>Notes: Values a</w:t>
      </w:r>
      <w:r w:rsidR="0040758E" w:rsidRPr="00235690">
        <w:rPr>
          <w:sz w:val="20"/>
          <w:szCs w:val="20"/>
        </w:rPr>
        <w:t>s in Figure 1</w:t>
      </w:r>
      <w:r w:rsidRPr="00235690">
        <w:rPr>
          <w:sz w:val="20"/>
          <w:szCs w:val="20"/>
        </w:rPr>
        <w:t>.</w:t>
      </w:r>
      <w:r w:rsidRPr="00235690">
        <w:t xml:space="preserve">  </w:t>
      </w:r>
    </w:p>
    <w:p w14:paraId="23C3E067" w14:textId="570372B7" w:rsidR="00DE5C89" w:rsidRPr="00235690" w:rsidRDefault="00DE5C89">
      <w:pPr>
        <w:spacing w:after="200" w:line="276" w:lineRule="auto"/>
        <w:ind w:firstLine="0"/>
        <w:jc w:val="left"/>
      </w:pPr>
      <w:r w:rsidRPr="00235690">
        <w:br w:type="page"/>
      </w:r>
    </w:p>
    <w:p w14:paraId="5C82A96E" w14:textId="0270B4C3" w:rsidR="00DE5C89" w:rsidRPr="00235690" w:rsidRDefault="00DE5C89" w:rsidP="00DE5C89">
      <w:pPr>
        <w:spacing w:line="264" w:lineRule="auto"/>
        <w:ind w:firstLine="0"/>
        <w:jc w:val="left"/>
        <w:rPr>
          <w:b/>
        </w:rPr>
      </w:pPr>
      <w:r w:rsidRPr="00235690">
        <w:rPr>
          <w:b/>
        </w:rPr>
        <w:lastRenderedPageBreak/>
        <w:t>TABLES</w:t>
      </w:r>
    </w:p>
    <w:p w14:paraId="1BAACC6A" w14:textId="77777777" w:rsidR="00DE5C89" w:rsidRPr="00235690" w:rsidRDefault="00DE5C89" w:rsidP="00DE5C89">
      <w:pPr>
        <w:spacing w:line="264" w:lineRule="auto"/>
        <w:ind w:firstLine="0"/>
        <w:jc w:val="left"/>
        <w:rPr>
          <w:b/>
        </w:rPr>
      </w:pPr>
    </w:p>
    <w:p w14:paraId="61612467" w14:textId="77777777" w:rsidR="00DE5C89" w:rsidRPr="00235690" w:rsidRDefault="00DE5C89" w:rsidP="00DE5C89">
      <w:pPr>
        <w:spacing w:line="264" w:lineRule="auto"/>
        <w:ind w:firstLine="0"/>
        <w:jc w:val="left"/>
        <w:rPr>
          <w:i/>
          <w:iCs/>
          <w:sz w:val="20"/>
          <w:szCs w:val="20"/>
        </w:rPr>
      </w:pPr>
      <w:proofErr w:type="gramStart"/>
      <w:r w:rsidRPr="00235690">
        <w:rPr>
          <w:b/>
        </w:rPr>
        <w:t>Table 1.</w:t>
      </w:r>
      <w:proofErr w:type="gramEnd"/>
      <w:r w:rsidRPr="00235690">
        <w:t xml:space="preserve"> </w:t>
      </w:r>
      <w:proofErr w:type="gramStart"/>
      <w:r w:rsidRPr="00235690">
        <w:t>Per capita value of the transfer package towards children and the elderly.</w:t>
      </w:r>
      <w:proofErr w:type="gramEnd"/>
    </w:p>
    <w:tbl>
      <w:tblPr>
        <w:tblStyle w:val="TableGrid"/>
        <w:tblW w:w="0" w:type="auto"/>
        <w:tblInd w:w="108" w:type="dxa"/>
        <w:tblLook w:val="04A0" w:firstRow="1" w:lastRow="0" w:firstColumn="1" w:lastColumn="0" w:noHBand="0" w:noVBand="1"/>
      </w:tblPr>
      <w:tblGrid>
        <w:gridCol w:w="2019"/>
        <w:gridCol w:w="2299"/>
        <w:gridCol w:w="2300"/>
        <w:gridCol w:w="2300"/>
      </w:tblGrid>
      <w:tr w:rsidR="00DE5C89" w:rsidRPr="00235690" w14:paraId="1CC9F0E9" w14:textId="77777777" w:rsidTr="000F2700">
        <w:tc>
          <w:tcPr>
            <w:tcW w:w="2019" w:type="dxa"/>
            <w:tcBorders>
              <w:left w:val="nil"/>
              <w:bottom w:val="single" w:sz="4" w:space="0" w:color="auto"/>
              <w:right w:val="nil"/>
            </w:tcBorders>
          </w:tcPr>
          <w:p w14:paraId="66BE723C" w14:textId="77777777" w:rsidR="00DE5C89" w:rsidRPr="00235690" w:rsidRDefault="00DE5C89" w:rsidP="000F2700">
            <w:pPr>
              <w:spacing w:line="264" w:lineRule="auto"/>
              <w:ind w:firstLine="0"/>
              <w:rPr>
                <w:sz w:val="20"/>
                <w:szCs w:val="20"/>
              </w:rPr>
            </w:pPr>
          </w:p>
        </w:tc>
        <w:tc>
          <w:tcPr>
            <w:tcW w:w="2299" w:type="dxa"/>
            <w:tcBorders>
              <w:left w:val="nil"/>
              <w:bottom w:val="single" w:sz="4" w:space="0" w:color="auto"/>
              <w:right w:val="nil"/>
            </w:tcBorders>
          </w:tcPr>
          <w:p w14:paraId="33315A70" w14:textId="77777777" w:rsidR="00DE5C89" w:rsidRPr="00235690" w:rsidRDefault="00DE5C89" w:rsidP="000F2700">
            <w:pPr>
              <w:spacing w:line="264" w:lineRule="auto"/>
              <w:ind w:firstLine="0"/>
              <w:jc w:val="center"/>
              <w:rPr>
                <w:sz w:val="20"/>
                <w:szCs w:val="20"/>
              </w:rPr>
            </w:pPr>
            <w:r w:rsidRPr="00235690">
              <w:rPr>
                <w:sz w:val="20"/>
                <w:szCs w:val="20"/>
              </w:rPr>
              <w:t>Public transfers</w:t>
            </w:r>
          </w:p>
        </w:tc>
        <w:tc>
          <w:tcPr>
            <w:tcW w:w="2300" w:type="dxa"/>
            <w:tcBorders>
              <w:left w:val="nil"/>
              <w:bottom w:val="single" w:sz="4" w:space="0" w:color="auto"/>
              <w:right w:val="nil"/>
            </w:tcBorders>
          </w:tcPr>
          <w:p w14:paraId="07675115" w14:textId="77777777" w:rsidR="00DE5C89" w:rsidRPr="00235690" w:rsidRDefault="00DE5C89" w:rsidP="000F2700">
            <w:pPr>
              <w:spacing w:line="264" w:lineRule="auto"/>
              <w:ind w:firstLine="0"/>
              <w:jc w:val="center"/>
              <w:rPr>
                <w:sz w:val="20"/>
                <w:szCs w:val="20"/>
              </w:rPr>
            </w:pPr>
            <w:r w:rsidRPr="00235690">
              <w:rPr>
                <w:sz w:val="20"/>
                <w:szCs w:val="20"/>
              </w:rPr>
              <w:t>Public + private</w:t>
            </w:r>
          </w:p>
          <w:p w14:paraId="219E56AA" w14:textId="77777777" w:rsidR="00DE5C89" w:rsidRPr="00235690" w:rsidRDefault="00DE5C89" w:rsidP="000F2700">
            <w:pPr>
              <w:spacing w:line="264" w:lineRule="auto"/>
              <w:ind w:firstLine="0"/>
              <w:jc w:val="center"/>
              <w:rPr>
                <w:sz w:val="20"/>
                <w:szCs w:val="20"/>
              </w:rPr>
            </w:pPr>
            <w:r w:rsidRPr="00235690">
              <w:rPr>
                <w:sz w:val="20"/>
                <w:szCs w:val="20"/>
              </w:rPr>
              <w:t>Transfers</w:t>
            </w:r>
          </w:p>
        </w:tc>
        <w:tc>
          <w:tcPr>
            <w:tcW w:w="2300" w:type="dxa"/>
            <w:tcBorders>
              <w:left w:val="nil"/>
              <w:bottom w:val="single" w:sz="4" w:space="0" w:color="auto"/>
              <w:right w:val="nil"/>
            </w:tcBorders>
          </w:tcPr>
          <w:p w14:paraId="526F8EE6" w14:textId="77777777" w:rsidR="00DE5C89" w:rsidRPr="00235690" w:rsidRDefault="00DE5C89" w:rsidP="000F2700">
            <w:pPr>
              <w:spacing w:line="264" w:lineRule="auto"/>
              <w:ind w:firstLine="0"/>
              <w:jc w:val="center"/>
              <w:rPr>
                <w:sz w:val="20"/>
                <w:szCs w:val="20"/>
              </w:rPr>
            </w:pPr>
            <w:r w:rsidRPr="00235690">
              <w:rPr>
                <w:sz w:val="20"/>
                <w:szCs w:val="20"/>
              </w:rPr>
              <w:t>Public + private  + time transfers</w:t>
            </w:r>
          </w:p>
        </w:tc>
      </w:tr>
      <w:tr w:rsidR="00DE5C89" w:rsidRPr="00235690" w14:paraId="20968AA1" w14:textId="77777777" w:rsidTr="000F2700">
        <w:tc>
          <w:tcPr>
            <w:tcW w:w="2019" w:type="dxa"/>
            <w:tcBorders>
              <w:left w:val="nil"/>
              <w:bottom w:val="nil"/>
              <w:right w:val="nil"/>
            </w:tcBorders>
          </w:tcPr>
          <w:p w14:paraId="0A2BEEF1" w14:textId="77777777" w:rsidR="00DE5C89" w:rsidRPr="00235690" w:rsidRDefault="00DE5C89" w:rsidP="000F2700">
            <w:pPr>
              <w:spacing w:line="264" w:lineRule="auto"/>
              <w:ind w:firstLine="0"/>
              <w:jc w:val="left"/>
              <w:rPr>
                <w:sz w:val="20"/>
                <w:szCs w:val="20"/>
              </w:rPr>
            </w:pPr>
            <w:r w:rsidRPr="00235690">
              <w:rPr>
                <w:sz w:val="20"/>
                <w:szCs w:val="20"/>
              </w:rPr>
              <w:t>Children</w:t>
            </w:r>
          </w:p>
        </w:tc>
        <w:tc>
          <w:tcPr>
            <w:tcW w:w="2299" w:type="dxa"/>
            <w:tcBorders>
              <w:left w:val="nil"/>
              <w:bottom w:val="nil"/>
              <w:right w:val="nil"/>
            </w:tcBorders>
            <w:vAlign w:val="bottom"/>
          </w:tcPr>
          <w:p w14:paraId="527A544A" w14:textId="77777777" w:rsidR="00DE5C89" w:rsidRPr="00235690" w:rsidRDefault="00DE5C89" w:rsidP="000F2700">
            <w:pPr>
              <w:spacing w:line="264" w:lineRule="auto"/>
              <w:ind w:firstLine="0"/>
              <w:jc w:val="center"/>
              <w:rPr>
                <w:sz w:val="20"/>
                <w:szCs w:val="20"/>
              </w:rPr>
            </w:pPr>
            <w:r w:rsidRPr="00235690">
              <w:rPr>
                <w:sz w:val="20"/>
                <w:szCs w:val="20"/>
              </w:rPr>
              <w:t>15</w:t>
            </w:r>
          </w:p>
        </w:tc>
        <w:tc>
          <w:tcPr>
            <w:tcW w:w="2300" w:type="dxa"/>
            <w:tcBorders>
              <w:left w:val="nil"/>
              <w:bottom w:val="nil"/>
              <w:right w:val="nil"/>
            </w:tcBorders>
            <w:vAlign w:val="bottom"/>
          </w:tcPr>
          <w:p w14:paraId="3A007253" w14:textId="77777777" w:rsidR="00DE5C89" w:rsidRPr="00235690" w:rsidRDefault="00DE5C89" w:rsidP="000F2700">
            <w:pPr>
              <w:spacing w:line="264" w:lineRule="auto"/>
              <w:ind w:firstLine="0"/>
              <w:jc w:val="center"/>
              <w:rPr>
                <w:sz w:val="20"/>
                <w:szCs w:val="20"/>
              </w:rPr>
            </w:pPr>
            <w:r w:rsidRPr="00235690">
              <w:rPr>
                <w:sz w:val="20"/>
                <w:szCs w:val="20"/>
              </w:rPr>
              <w:t>39</w:t>
            </w:r>
          </w:p>
        </w:tc>
        <w:tc>
          <w:tcPr>
            <w:tcW w:w="2300" w:type="dxa"/>
            <w:tcBorders>
              <w:left w:val="nil"/>
              <w:bottom w:val="nil"/>
              <w:right w:val="nil"/>
            </w:tcBorders>
            <w:vAlign w:val="bottom"/>
          </w:tcPr>
          <w:p w14:paraId="3E2EB305" w14:textId="77777777" w:rsidR="00DE5C89" w:rsidRPr="00235690" w:rsidRDefault="00DE5C89" w:rsidP="000F2700">
            <w:pPr>
              <w:spacing w:line="264" w:lineRule="auto"/>
              <w:ind w:firstLine="0"/>
              <w:jc w:val="center"/>
              <w:rPr>
                <w:sz w:val="20"/>
                <w:szCs w:val="20"/>
              </w:rPr>
            </w:pPr>
            <w:r w:rsidRPr="00235690">
              <w:rPr>
                <w:sz w:val="20"/>
                <w:szCs w:val="20"/>
              </w:rPr>
              <w:t>73</w:t>
            </w:r>
          </w:p>
        </w:tc>
      </w:tr>
      <w:tr w:rsidR="00DE5C89" w:rsidRPr="00235690" w14:paraId="5B893A0A" w14:textId="77777777" w:rsidTr="000F2700">
        <w:tc>
          <w:tcPr>
            <w:tcW w:w="2019" w:type="dxa"/>
            <w:tcBorders>
              <w:top w:val="nil"/>
              <w:left w:val="nil"/>
              <w:bottom w:val="nil"/>
              <w:right w:val="nil"/>
            </w:tcBorders>
          </w:tcPr>
          <w:p w14:paraId="4A5104B9" w14:textId="77777777" w:rsidR="00DE5C89" w:rsidRPr="00235690" w:rsidRDefault="00DE5C89" w:rsidP="000F2700">
            <w:pPr>
              <w:spacing w:line="264" w:lineRule="auto"/>
              <w:ind w:firstLine="0"/>
              <w:jc w:val="left"/>
              <w:rPr>
                <w:sz w:val="20"/>
                <w:szCs w:val="20"/>
              </w:rPr>
            </w:pPr>
            <w:r w:rsidRPr="00235690">
              <w:rPr>
                <w:sz w:val="20"/>
                <w:szCs w:val="20"/>
              </w:rPr>
              <w:t>Elderly</w:t>
            </w:r>
          </w:p>
        </w:tc>
        <w:tc>
          <w:tcPr>
            <w:tcW w:w="2299" w:type="dxa"/>
            <w:tcBorders>
              <w:top w:val="nil"/>
              <w:left w:val="nil"/>
              <w:bottom w:val="nil"/>
              <w:right w:val="nil"/>
            </w:tcBorders>
            <w:vAlign w:val="bottom"/>
          </w:tcPr>
          <w:p w14:paraId="212F1CED" w14:textId="77777777" w:rsidR="00DE5C89" w:rsidRPr="00235690" w:rsidRDefault="00DE5C89" w:rsidP="000F2700">
            <w:pPr>
              <w:spacing w:line="264" w:lineRule="auto"/>
              <w:ind w:firstLine="0"/>
              <w:jc w:val="center"/>
              <w:rPr>
                <w:sz w:val="20"/>
                <w:szCs w:val="20"/>
              </w:rPr>
            </w:pPr>
            <w:r w:rsidRPr="00235690">
              <w:rPr>
                <w:sz w:val="20"/>
                <w:szCs w:val="20"/>
              </w:rPr>
              <w:t>37</w:t>
            </w:r>
          </w:p>
        </w:tc>
        <w:tc>
          <w:tcPr>
            <w:tcW w:w="2300" w:type="dxa"/>
            <w:tcBorders>
              <w:top w:val="nil"/>
              <w:left w:val="nil"/>
              <w:bottom w:val="nil"/>
              <w:right w:val="nil"/>
            </w:tcBorders>
            <w:vAlign w:val="bottom"/>
          </w:tcPr>
          <w:p w14:paraId="27758345" w14:textId="77777777" w:rsidR="00DE5C89" w:rsidRPr="00235690" w:rsidRDefault="00DE5C89" w:rsidP="000F2700">
            <w:pPr>
              <w:spacing w:line="264" w:lineRule="auto"/>
              <w:ind w:firstLine="0"/>
              <w:jc w:val="center"/>
              <w:rPr>
                <w:sz w:val="20"/>
                <w:szCs w:val="20"/>
              </w:rPr>
            </w:pPr>
            <w:r w:rsidRPr="00235690">
              <w:rPr>
                <w:sz w:val="20"/>
                <w:szCs w:val="20"/>
              </w:rPr>
              <w:t>34</w:t>
            </w:r>
          </w:p>
        </w:tc>
        <w:tc>
          <w:tcPr>
            <w:tcW w:w="2300" w:type="dxa"/>
            <w:tcBorders>
              <w:top w:val="nil"/>
              <w:left w:val="nil"/>
              <w:bottom w:val="nil"/>
              <w:right w:val="nil"/>
            </w:tcBorders>
            <w:vAlign w:val="bottom"/>
          </w:tcPr>
          <w:p w14:paraId="6239B95E" w14:textId="77777777" w:rsidR="00DE5C89" w:rsidRPr="00235690" w:rsidRDefault="00DE5C89" w:rsidP="000F2700">
            <w:pPr>
              <w:spacing w:line="264" w:lineRule="auto"/>
              <w:ind w:firstLine="0"/>
              <w:jc w:val="center"/>
              <w:rPr>
                <w:sz w:val="20"/>
                <w:szCs w:val="20"/>
              </w:rPr>
            </w:pPr>
            <w:r w:rsidRPr="00235690">
              <w:rPr>
                <w:sz w:val="20"/>
                <w:szCs w:val="20"/>
              </w:rPr>
              <w:t>31</w:t>
            </w:r>
          </w:p>
        </w:tc>
      </w:tr>
      <w:tr w:rsidR="00DE5C89" w:rsidRPr="00235690" w14:paraId="2BB26FF0" w14:textId="77777777" w:rsidTr="000F2700">
        <w:tc>
          <w:tcPr>
            <w:tcW w:w="2019" w:type="dxa"/>
            <w:tcBorders>
              <w:top w:val="nil"/>
              <w:left w:val="nil"/>
              <w:right w:val="nil"/>
            </w:tcBorders>
          </w:tcPr>
          <w:p w14:paraId="3A848B3E" w14:textId="77777777" w:rsidR="00DE5C89" w:rsidRPr="00235690" w:rsidRDefault="00DE5C89" w:rsidP="000F2700">
            <w:pPr>
              <w:spacing w:line="264" w:lineRule="auto"/>
              <w:ind w:firstLine="0"/>
              <w:jc w:val="left"/>
              <w:rPr>
                <w:sz w:val="20"/>
                <w:szCs w:val="20"/>
              </w:rPr>
            </w:pPr>
            <w:r w:rsidRPr="00235690">
              <w:rPr>
                <w:sz w:val="20"/>
                <w:szCs w:val="20"/>
              </w:rPr>
              <w:t>CH/E ratio</w:t>
            </w:r>
          </w:p>
        </w:tc>
        <w:tc>
          <w:tcPr>
            <w:tcW w:w="2299" w:type="dxa"/>
            <w:tcBorders>
              <w:top w:val="nil"/>
              <w:left w:val="nil"/>
              <w:right w:val="nil"/>
            </w:tcBorders>
            <w:vAlign w:val="bottom"/>
          </w:tcPr>
          <w:p w14:paraId="09DE9BCC" w14:textId="77777777" w:rsidR="00DE5C89" w:rsidRPr="00235690" w:rsidRDefault="00DE5C89" w:rsidP="000F2700">
            <w:pPr>
              <w:spacing w:line="264" w:lineRule="auto"/>
              <w:ind w:firstLine="0"/>
              <w:jc w:val="center"/>
              <w:rPr>
                <w:sz w:val="20"/>
                <w:szCs w:val="20"/>
              </w:rPr>
            </w:pPr>
            <w:r w:rsidRPr="00235690">
              <w:rPr>
                <w:sz w:val="20"/>
                <w:szCs w:val="20"/>
              </w:rPr>
              <w:t>0.39</w:t>
            </w:r>
          </w:p>
        </w:tc>
        <w:tc>
          <w:tcPr>
            <w:tcW w:w="2300" w:type="dxa"/>
            <w:tcBorders>
              <w:top w:val="nil"/>
              <w:left w:val="nil"/>
              <w:right w:val="nil"/>
            </w:tcBorders>
            <w:vAlign w:val="bottom"/>
          </w:tcPr>
          <w:p w14:paraId="3C0BA585" w14:textId="77777777" w:rsidR="00DE5C89" w:rsidRPr="00235690" w:rsidRDefault="00DE5C89" w:rsidP="000F2700">
            <w:pPr>
              <w:spacing w:line="264" w:lineRule="auto"/>
              <w:ind w:firstLine="0"/>
              <w:jc w:val="center"/>
              <w:rPr>
                <w:sz w:val="20"/>
                <w:szCs w:val="20"/>
              </w:rPr>
            </w:pPr>
            <w:r w:rsidRPr="00235690">
              <w:rPr>
                <w:sz w:val="20"/>
                <w:szCs w:val="20"/>
              </w:rPr>
              <w:t>1.14</w:t>
            </w:r>
          </w:p>
        </w:tc>
        <w:tc>
          <w:tcPr>
            <w:tcW w:w="2300" w:type="dxa"/>
            <w:tcBorders>
              <w:top w:val="nil"/>
              <w:left w:val="nil"/>
              <w:right w:val="nil"/>
            </w:tcBorders>
            <w:vAlign w:val="bottom"/>
          </w:tcPr>
          <w:p w14:paraId="25D9B2F0" w14:textId="77777777" w:rsidR="00DE5C89" w:rsidRPr="00235690" w:rsidRDefault="00DE5C89" w:rsidP="000F2700">
            <w:pPr>
              <w:spacing w:line="264" w:lineRule="auto"/>
              <w:ind w:firstLine="0"/>
              <w:jc w:val="center"/>
              <w:rPr>
                <w:sz w:val="20"/>
                <w:szCs w:val="20"/>
              </w:rPr>
            </w:pPr>
            <w:r w:rsidRPr="00235690">
              <w:rPr>
                <w:sz w:val="20"/>
                <w:szCs w:val="20"/>
              </w:rPr>
              <w:t>2.35</w:t>
            </w:r>
          </w:p>
        </w:tc>
      </w:tr>
    </w:tbl>
    <w:p w14:paraId="777D205A" w14:textId="77777777" w:rsidR="00DE5C89" w:rsidRPr="00235690" w:rsidRDefault="00DE5C89" w:rsidP="00DE5C89">
      <w:pPr>
        <w:spacing w:line="264" w:lineRule="auto"/>
        <w:ind w:firstLine="0"/>
        <w:jc w:val="left"/>
        <w:rPr>
          <w:sz w:val="20"/>
          <w:szCs w:val="20"/>
        </w:rPr>
      </w:pPr>
      <w:r w:rsidRPr="00235690">
        <w:rPr>
          <w:sz w:val="20"/>
          <w:szCs w:val="20"/>
        </w:rPr>
        <w:t>Note: Transfer values as in Figure 1.</w:t>
      </w:r>
    </w:p>
    <w:p w14:paraId="164F188E" w14:textId="77777777" w:rsidR="00DE5C89" w:rsidRPr="00235690" w:rsidRDefault="00DE5C89" w:rsidP="00DE5C89">
      <w:pPr>
        <w:spacing w:line="264" w:lineRule="auto"/>
        <w:ind w:firstLine="0"/>
      </w:pPr>
    </w:p>
    <w:p w14:paraId="736DBCCD" w14:textId="77777777" w:rsidR="00DE5C89" w:rsidRPr="00235690" w:rsidRDefault="00DE5C89" w:rsidP="00DE5C89">
      <w:pPr>
        <w:spacing w:line="264" w:lineRule="auto"/>
        <w:ind w:firstLine="0"/>
      </w:pPr>
    </w:p>
    <w:p w14:paraId="53F0EDAC" w14:textId="77777777" w:rsidR="00DE5C89" w:rsidRPr="00235690" w:rsidRDefault="00DE5C89" w:rsidP="00DE5C89">
      <w:pPr>
        <w:spacing w:line="264" w:lineRule="auto"/>
        <w:ind w:firstLine="0"/>
      </w:pPr>
      <w:proofErr w:type="gramStart"/>
      <w:r w:rsidRPr="00235690">
        <w:rPr>
          <w:b/>
        </w:rPr>
        <w:t>Table 2</w:t>
      </w:r>
      <w:r w:rsidRPr="00235690">
        <w:t>.</w:t>
      </w:r>
      <w:proofErr w:type="gramEnd"/>
      <w:r w:rsidRPr="00235690">
        <w:t xml:space="preserve"> TLCD demarcation ages, per capita net transfers by type, and children/elderly transfer ratios, 10 European countries.</w:t>
      </w:r>
    </w:p>
    <w:p w14:paraId="5CDABA39" w14:textId="77777777" w:rsidR="00DE5C89" w:rsidRPr="00235690" w:rsidRDefault="00DE5C89" w:rsidP="00DE5C89">
      <w:pPr>
        <w:spacing w:line="264" w:lineRule="auto"/>
        <w:ind w:firstLine="0"/>
      </w:pPr>
      <w:r w:rsidRPr="00235690">
        <w:rPr>
          <w:noProof/>
          <w:lang w:val="en-US"/>
        </w:rPr>
        <w:drawing>
          <wp:inline distT="0" distB="0" distL="0" distR="0" wp14:anchorId="7789F84E" wp14:editId="0307C7A5">
            <wp:extent cx="5731510" cy="2169379"/>
            <wp:effectExtent l="0" t="0" r="2540" b="254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169379"/>
                    </a:xfrm>
                    <a:prstGeom prst="rect">
                      <a:avLst/>
                    </a:prstGeom>
                    <a:noFill/>
                    <a:ln>
                      <a:noFill/>
                    </a:ln>
                  </pic:spPr>
                </pic:pic>
              </a:graphicData>
            </a:graphic>
          </wp:inline>
        </w:drawing>
      </w:r>
    </w:p>
    <w:p w14:paraId="4E26F546" w14:textId="77777777" w:rsidR="00DE5C89" w:rsidRPr="00235690" w:rsidRDefault="00DE5C89" w:rsidP="00DE5C89">
      <w:pPr>
        <w:spacing w:line="264" w:lineRule="auto"/>
        <w:ind w:firstLine="0"/>
        <w:rPr>
          <w:sz w:val="20"/>
          <w:szCs w:val="20"/>
        </w:rPr>
      </w:pPr>
      <w:r w:rsidRPr="00235690">
        <w:rPr>
          <w:sz w:val="20"/>
          <w:szCs w:val="20"/>
        </w:rPr>
        <w:t xml:space="preserve">Notes: demarcation age: age when the difference of consumption and labour income changes sign; </w:t>
      </w:r>
      <w:r w:rsidRPr="00235690">
        <w:rPr>
          <w:rFonts w:eastAsia="Times New Roman"/>
          <w:color w:val="000000"/>
          <w:sz w:val="20"/>
          <w:szCs w:val="20"/>
          <w:lang w:eastAsia="hu-HU"/>
        </w:rPr>
        <w:t>YL</w:t>
      </w:r>
      <w:r w:rsidRPr="00235690">
        <w:rPr>
          <w:rFonts w:eastAsia="Times New Roman"/>
          <w:color w:val="000000"/>
          <w:sz w:val="20"/>
          <w:szCs w:val="20"/>
          <w:vertAlign w:val="subscript"/>
          <w:lang w:eastAsia="hu-HU"/>
        </w:rPr>
        <w:t>30-49</w:t>
      </w:r>
      <w:r w:rsidRPr="00235690">
        <w:rPr>
          <w:rFonts w:eastAsia="Times New Roman"/>
          <w:color w:val="000000"/>
          <w:sz w:val="20"/>
          <w:szCs w:val="20"/>
          <w:lang w:eastAsia="hu-HU"/>
        </w:rPr>
        <w:t>: average per capita labour income of the 30-49 year olds.</w:t>
      </w:r>
    </w:p>
    <w:p w14:paraId="479C4CBB" w14:textId="77777777" w:rsidR="00DE5C89" w:rsidRPr="00235690" w:rsidRDefault="00DE5C89" w:rsidP="00DE5C89">
      <w:pPr>
        <w:spacing w:line="264" w:lineRule="auto"/>
        <w:ind w:firstLine="0"/>
      </w:pPr>
    </w:p>
    <w:p w14:paraId="523874A7" w14:textId="77777777" w:rsidR="00DE5C89" w:rsidRPr="00235690" w:rsidRDefault="00DE5C89" w:rsidP="00DE5C89">
      <w:pPr>
        <w:spacing w:line="264" w:lineRule="auto"/>
        <w:ind w:firstLine="0"/>
      </w:pPr>
    </w:p>
    <w:p w14:paraId="38D33D6F" w14:textId="77777777" w:rsidR="00DE5C89" w:rsidRPr="00235690" w:rsidRDefault="00DE5C89" w:rsidP="00DE5C89">
      <w:pPr>
        <w:spacing w:line="264" w:lineRule="auto"/>
        <w:ind w:firstLine="0"/>
      </w:pPr>
    </w:p>
    <w:p w14:paraId="5AE018E3" w14:textId="77777777" w:rsidR="00DE5C89" w:rsidRPr="00235690" w:rsidRDefault="00DE5C89" w:rsidP="00DE5C89">
      <w:pPr>
        <w:spacing w:line="264" w:lineRule="auto"/>
        <w:ind w:firstLine="0"/>
      </w:pPr>
      <w:proofErr w:type="gramStart"/>
      <w:r w:rsidRPr="00235690">
        <w:rPr>
          <w:b/>
        </w:rPr>
        <w:t>Table 3</w:t>
      </w:r>
      <w:r w:rsidRPr="00235690">
        <w:t>.</w:t>
      </w:r>
      <w:proofErr w:type="gramEnd"/>
      <w:r w:rsidRPr="00235690">
        <w:t xml:space="preserve"> Composition of the net transfer package for net recipients, %.</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1276"/>
        <w:gridCol w:w="1984"/>
        <w:gridCol w:w="1985"/>
        <w:gridCol w:w="1985"/>
        <w:gridCol w:w="1365"/>
      </w:tblGrid>
      <w:tr w:rsidR="00DE5C89" w:rsidRPr="00235690" w14:paraId="44F622E6" w14:textId="77777777" w:rsidTr="000F2700">
        <w:tc>
          <w:tcPr>
            <w:tcW w:w="1276" w:type="dxa"/>
            <w:tcBorders>
              <w:bottom w:val="single" w:sz="4" w:space="0" w:color="auto"/>
              <w:right w:val="nil"/>
            </w:tcBorders>
          </w:tcPr>
          <w:p w14:paraId="62279DB8" w14:textId="77777777" w:rsidR="00DE5C89" w:rsidRPr="00235690" w:rsidRDefault="00DE5C89" w:rsidP="000F2700">
            <w:pPr>
              <w:spacing w:line="264" w:lineRule="auto"/>
              <w:ind w:firstLine="0"/>
              <w:rPr>
                <w:sz w:val="20"/>
                <w:szCs w:val="20"/>
              </w:rPr>
            </w:pPr>
          </w:p>
        </w:tc>
        <w:tc>
          <w:tcPr>
            <w:tcW w:w="1984" w:type="dxa"/>
            <w:tcBorders>
              <w:left w:val="nil"/>
              <w:bottom w:val="single" w:sz="4" w:space="0" w:color="auto"/>
              <w:right w:val="nil"/>
            </w:tcBorders>
          </w:tcPr>
          <w:p w14:paraId="24DA9335" w14:textId="77777777" w:rsidR="00DE5C89" w:rsidRPr="00235690" w:rsidRDefault="00DE5C89" w:rsidP="000F2700">
            <w:pPr>
              <w:spacing w:line="264" w:lineRule="auto"/>
              <w:ind w:firstLine="0"/>
              <w:jc w:val="right"/>
              <w:rPr>
                <w:sz w:val="20"/>
                <w:szCs w:val="20"/>
              </w:rPr>
            </w:pPr>
            <w:r w:rsidRPr="00235690">
              <w:rPr>
                <w:sz w:val="20"/>
                <w:szCs w:val="20"/>
              </w:rPr>
              <w:t>Public transfers</w:t>
            </w:r>
          </w:p>
        </w:tc>
        <w:tc>
          <w:tcPr>
            <w:tcW w:w="1985" w:type="dxa"/>
            <w:tcBorders>
              <w:left w:val="nil"/>
              <w:bottom w:val="single" w:sz="4" w:space="0" w:color="auto"/>
              <w:right w:val="nil"/>
            </w:tcBorders>
          </w:tcPr>
          <w:p w14:paraId="704E194A" w14:textId="77777777" w:rsidR="00DE5C89" w:rsidRPr="00235690" w:rsidRDefault="00DE5C89" w:rsidP="000F2700">
            <w:pPr>
              <w:spacing w:line="264" w:lineRule="auto"/>
              <w:ind w:firstLine="0"/>
              <w:jc w:val="right"/>
              <w:rPr>
                <w:sz w:val="20"/>
                <w:szCs w:val="20"/>
              </w:rPr>
            </w:pPr>
            <w:r w:rsidRPr="00235690">
              <w:rPr>
                <w:sz w:val="20"/>
                <w:szCs w:val="20"/>
              </w:rPr>
              <w:t>Private transfers</w:t>
            </w:r>
          </w:p>
        </w:tc>
        <w:tc>
          <w:tcPr>
            <w:tcW w:w="1985" w:type="dxa"/>
            <w:tcBorders>
              <w:left w:val="nil"/>
              <w:bottom w:val="single" w:sz="4" w:space="0" w:color="auto"/>
              <w:right w:val="nil"/>
            </w:tcBorders>
          </w:tcPr>
          <w:p w14:paraId="7F2D1F32" w14:textId="77777777" w:rsidR="00DE5C89" w:rsidRPr="00235690" w:rsidRDefault="00DE5C89" w:rsidP="000F2700">
            <w:pPr>
              <w:spacing w:line="264" w:lineRule="auto"/>
              <w:ind w:firstLine="0"/>
              <w:jc w:val="right"/>
              <w:rPr>
                <w:sz w:val="20"/>
                <w:szCs w:val="20"/>
              </w:rPr>
            </w:pPr>
            <w:r w:rsidRPr="00235690">
              <w:rPr>
                <w:sz w:val="20"/>
                <w:szCs w:val="20"/>
              </w:rPr>
              <w:t>Time transfers</w:t>
            </w:r>
          </w:p>
        </w:tc>
        <w:tc>
          <w:tcPr>
            <w:tcW w:w="1365" w:type="dxa"/>
            <w:tcBorders>
              <w:left w:val="nil"/>
              <w:bottom w:val="single" w:sz="4" w:space="0" w:color="auto"/>
            </w:tcBorders>
          </w:tcPr>
          <w:p w14:paraId="0112AFFD" w14:textId="77777777" w:rsidR="00DE5C89" w:rsidRPr="00235690" w:rsidRDefault="00DE5C89" w:rsidP="000F2700">
            <w:pPr>
              <w:spacing w:line="264" w:lineRule="auto"/>
              <w:ind w:firstLine="0"/>
              <w:jc w:val="center"/>
              <w:rPr>
                <w:sz w:val="20"/>
                <w:szCs w:val="20"/>
              </w:rPr>
            </w:pPr>
            <w:r w:rsidRPr="00235690">
              <w:rPr>
                <w:sz w:val="20"/>
                <w:szCs w:val="20"/>
              </w:rPr>
              <w:t>Total</w:t>
            </w:r>
          </w:p>
        </w:tc>
      </w:tr>
      <w:tr w:rsidR="00DE5C89" w:rsidRPr="00235690" w14:paraId="6226CD91" w14:textId="77777777" w:rsidTr="000F2700">
        <w:tc>
          <w:tcPr>
            <w:tcW w:w="1276" w:type="dxa"/>
            <w:tcBorders>
              <w:bottom w:val="nil"/>
              <w:right w:val="nil"/>
            </w:tcBorders>
          </w:tcPr>
          <w:p w14:paraId="31A5AEEB" w14:textId="77777777" w:rsidR="00DE5C89" w:rsidRPr="00235690" w:rsidRDefault="00DE5C89" w:rsidP="000F2700">
            <w:pPr>
              <w:spacing w:line="264" w:lineRule="auto"/>
              <w:ind w:firstLine="0"/>
              <w:jc w:val="left"/>
              <w:rPr>
                <w:sz w:val="20"/>
                <w:szCs w:val="20"/>
              </w:rPr>
            </w:pPr>
            <w:r w:rsidRPr="00235690">
              <w:rPr>
                <w:sz w:val="20"/>
                <w:szCs w:val="20"/>
              </w:rPr>
              <w:t>Children</w:t>
            </w:r>
          </w:p>
        </w:tc>
        <w:tc>
          <w:tcPr>
            <w:tcW w:w="1984" w:type="dxa"/>
            <w:tcBorders>
              <w:left w:val="nil"/>
              <w:bottom w:val="nil"/>
              <w:right w:val="nil"/>
            </w:tcBorders>
            <w:vAlign w:val="bottom"/>
          </w:tcPr>
          <w:p w14:paraId="3C3438C0" w14:textId="77777777" w:rsidR="00DE5C89" w:rsidRPr="00235690" w:rsidRDefault="00DE5C89" w:rsidP="000F2700">
            <w:pPr>
              <w:spacing w:line="264" w:lineRule="auto"/>
              <w:ind w:right="566" w:firstLine="0"/>
              <w:jc w:val="right"/>
              <w:rPr>
                <w:sz w:val="20"/>
                <w:szCs w:val="20"/>
              </w:rPr>
            </w:pPr>
            <w:r w:rsidRPr="00235690">
              <w:rPr>
                <w:sz w:val="20"/>
                <w:szCs w:val="20"/>
              </w:rPr>
              <w:t>20</w:t>
            </w:r>
          </w:p>
        </w:tc>
        <w:tc>
          <w:tcPr>
            <w:tcW w:w="1985" w:type="dxa"/>
            <w:tcBorders>
              <w:left w:val="nil"/>
              <w:bottom w:val="nil"/>
              <w:right w:val="nil"/>
            </w:tcBorders>
            <w:vAlign w:val="bottom"/>
          </w:tcPr>
          <w:p w14:paraId="3A71ED40" w14:textId="77777777" w:rsidR="00DE5C89" w:rsidRPr="00235690" w:rsidRDefault="00DE5C89" w:rsidP="000F2700">
            <w:pPr>
              <w:spacing w:line="264" w:lineRule="auto"/>
              <w:ind w:right="572" w:firstLine="0"/>
              <w:jc w:val="right"/>
              <w:rPr>
                <w:sz w:val="20"/>
                <w:szCs w:val="20"/>
              </w:rPr>
            </w:pPr>
            <w:r w:rsidRPr="00235690">
              <w:rPr>
                <w:sz w:val="20"/>
                <w:szCs w:val="20"/>
              </w:rPr>
              <w:t>33</w:t>
            </w:r>
          </w:p>
        </w:tc>
        <w:tc>
          <w:tcPr>
            <w:tcW w:w="1985" w:type="dxa"/>
            <w:tcBorders>
              <w:left w:val="nil"/>
              <w:bottom w:val="nil"/>
              <w:right w:val="nil"/>
            </w:tcBorders>
            <w:vAlign w:val="bottom"/>
          </w:tcPr>
          <w:p w14:paraId="3FA77F60" w14:textId="77777777" w:rsidR="00DE5C89" w:rsidRPr="00235690" w:rsidRDefault="00DE5C89" w:rsidP="000F2700">
            <w:pPr>
              <w:spacing w:line="264" w:lineRule="auto"/>
              <w:ind w:right="426" w:firstLine="0"/>
              <w:jc w:val="right"/>
              <w:rPr>
                <w:sz w:val="20"/>
                <w:szCs w:val="20"/>
              </w:rPr>
            </w:pPr>
            <w:r w:rsidRPr="00235690">
              <w:rPr>
                <w:sz w:val="20"/>
                <w:szCs w:val="20"/>
              </w:rPr>
              <w:t>47</w:t>
            </w:r>
          </w:p>
        </w:tc>
        <w:tc>
          <w:tcPr>
            <w:tcW w:w="1365" w:type="dxa"/>
            <w:tcBorders>
              <w:left w:val="nil"/>
              <w:bottom w:val="nil"/>
            </w:tcBorders>
          </w:tcPr>
          <w:p w14:paraId="17CE5886" w14:textId="77777777" w:rsidR="00DE5C89" w:rsidRPr="00235690" w:rsidRDefault="00DE5C89" w:rsidP="000F2700">
            <w:pPr>
              <w:spacing w:line="264" w:lineRule="auto"/>
              <w:ind w:firstLine="0"/>
              <w:jc w:val="center"/>
              <w:rPr>
                <w:sz w:val="20"/>
                <w:szCs w:val="20"/>
              </w:rPr>
            </w:pPr>
            <w:r w:rsidRPr="00235690">
              <w:rPr>
                <w:sz w:val="20"/>
                <w:szCs w:val="20"/>
              </w:rPr>
              <w:t>100</w:t>
            </w:r>
          </w:p>
        </w:tc>
      </w:tr>
      <w:tr w:rsidR="00DE5C89" w:rsidRPr="00235690" w14:paraId="0206A7CE" w14:textId="77777777" w:rsidTr="000F2700">
        <w:tc>
          <w:tcPr>
            <w:tcW w:w="1276" w:type="dxa"/>
            <w:tcBorders>
              <w:top w:val="nil"/>
              <w:right w:val="nil"/>
            </w:tcBorders>
          </w:tcPr>
          <w:p w14:paraId="05A9190F" w14:textId="77777777" w:rsidR="00DE5C89" w:rsidRPr="00235690" w:rsidRDefault="00DE5C89" w:rsidP="000F2700">
            <w:pPr>
              <w:spacing w:line="264" w:lineRule="auto"/>
              <w:ind w:firstLine="0"/>
              <w:jc w:val="left"/>
              <w:rPr>
                <w:sz w:val="20"/>
                <w:szCs w:val="20"/>
              </w:rPr>
            </w:pPr>
            <w:r w:rsidRPr="00235690">
              <w:rPr>
                <w:sz w:val="20"/>
                <w:szCs w:val="20"/>
              </w:rPr>
              <w:t>Elderly</w:t>
            </w:r>
          </w:p>
        </w:tc>
        <w:tc>
          <w:tcPr>
            <w:tcW w:w="1984" w:type="dxa"/>
            <w:tcBorders>
              <w:top w:val="nil"/>
              <w:left w:val="nil"/>
              <w:right w:val="nil"/>
            </w:tcBorders>
            <w:vAlign w:val="bottom"/>
          </w:tcPr>
          <w:p w14:paraId="4332FEB5" w14:textId="77777777" w:rsidR="00DE5C89" w:rsidRPr="00235690" w:rsidRDefault="00DE5C89" w:rsidP="000F2700">
            <w:pPr>
              <w:spacing w:line="264" w:lineRule="auto"/>
              <w:ind w:right="566" w:firstLine="0"/>
              <w:jc w:val="right"/>
              <w:rPr>
                <w:sz w:val="20"/>
                <w:szCs w:val="20"/>
              </w:rPr>
            </w:pPr>
            <w:r w:rsidRPr="00235690">
              <w:rPr>
                <w:sz w:val="20"/>
                <w:szCs w:val="20"/>
              </w:rPr>
              <w:t>120</w:t>
            </w:r>
          </w:p>
        </w:tc>
        <w:tc>
          <w:tcPr>
            <w:tcW w:w="1985" w:type="dxa"/>
            <w:tcBorders>
              <w:top w:val="nil"/>
              <w:left w:val="nil"/>
              <w:right w:val="nil"/>
            </w:tcBorders>
            <w:vAlign w:val="bottom"/>
          </w:tcPr>
          <w:p w14:paraId="166250AE" w14:textId="77777777" w:rsidR="00DE5C89" w:rsidRPr="00235690" w:rsidRDefault="00DE5C89" w:rsidP="000F2700">
            <w:pPr>
              <w:spacing w:line="264" w:lineRule="auto"/>
              <w:ind w:right="572" w:firstLine="0"/>
              <w:jc w:val="right"/>
              <w:rPr>
                <w:sz w:val="20"/>
                <w:szCs w:val="20"/>
              </w:rPr>
            </w:pPr>
            <w:r w:rsidRPr="00235690">
              <w:rPr>
                <w:sz w:val="20"/>
                <w:szCs w:val="20"/>
              </w:rPr>
              <w:t>-10</w:t>
            </w:r>
          </w:p>
        </w:tc>
        <w:tc>
          <w:tcPr>
            <w:tcW w:w="1985" w:type="dxa"/>
            <w:tcBorders>
              <w:top w:val="nil"/>
              <w:left w:val="nil"/>
              <w:right w:val="nil"/>
            </w:tcBorders>
            <w:vAlign w:val="bottom"/>
          </w:tcPr>
          <w:p w14:paraId="54BDDE67" w14:textId="77777777" w:rsidR="00DE5C89" w:rsidRPr="00235690" w:rsidRDefault="00DE5C89" w:rsidP="000F2700">
            <w:pPr>
              <w:spacing w:line="264" w:lineRule="auto"/>
              <w:ind w:right="426" w:firstLine="0"/>
              <w:jc w:val="right"/>
              <w:rPr>
                <w:sz w:val="20"/>
                <w:szCs w:val="20"/>
              </w:rPr>
            </w:pPr>
            <w:r w:rsidRPr="00235690">
              <w:rPr>
                <w:sz w:val="20"/>
                <w:szCs w:val="20"/>
              </w:rPr>
              <w:t>-10</w:t>
            </w:r>
          </w:p>
        </w:tc>
        <w:tc>
          <w:tcPr>
            <w:tcW w:w="1365" w:type="dxa"/>
            <w:tcBorders>
              <w:top w:val="nil"/>
              <w:left w:val="nil"/>
            </w:tcBorders>
          </w:tcPr>
          <w:p w14:paraId="130A024B" w14:textId="77777777" w:rsidR="00DE5C89" w:rsidRPr="00235690" w:rsidRDefault="00DE5C89" w:rsidP="000F2700">
            <w:pPr>
              <w:spacing w:line="264" w:lineRule="auto"/>
              <w:ind w:firstLine="0"/>
              <w:jc w:val="center"/>
              <w:rPr>
                <w:sz w:val="20"/>
                <w:szCs w:val="20"/>
              </w:rPr>
            </w:pPr>
            <w:r w:rsidRPr="00235690">
              <w:rPr>
                <w:sz w:val="20"/>
                <w:szCs w:val="20"/>
              </w:rPr>
              <w:t>100</w:t>
            </w:r>
          </w:p>
        </w:tc>
      </w:tr>
    </w:tbl>
    <w:p w14:paraId="546031EC" w14:textId="77777777" w:rsidR="00DE5C89" w:rsidRPr="00235690" w:rsidRDefault="00DE5C89" w:rsidP="00DE5C89">
      <w:pPr>
        <w:spacing w:line="264" w:lineRule="auto"/>
        <w:ind w:firstLine="0"/>
        <w:rPr>
          <w:sz w:val="20"/>
          <w:szCs w:val="20"/>
        </w:rPr>
      </w:pPr>
      <w:r w:rsidRPr="00235690">
        <w:rPr>
          <w:sz w:val="20"/>
          <w:szCs w:val="20"/>
        </w:rPr>
        <w:t xml:space="preserve">Note: Population weighted averages based on data of 10 EU countries. </w:t>
      </w:r>
    </w:p>
    <w:p w14:paraId="09680B66" w14:textId="77777777" w:rsidR="00DE5C89" w:rsidRPr="00235690" w:rsidRDefault="00DE5C89" w:rsidP="00DE5C89">
      <w:pPr>
        <w:spacing w:line="264" w:lineRule="auto"/>
        <w:ind w:firstLine="0"/>
      </w:pPr>
    </w:p>
    <w:p w14:paraId="3A54C6F3" w14:textId="77777777" w:rsidR="00663CE9" w:rsidRPr="00235690" w:rsidRDefault="00663CE9" w:rsidP="00E4508B">
      <w:pPr>
        <w:spacing w:line="264" w:lineRule="auto"/>
        <w:ind w:firstLine="0"/>
      </w:pPr>
    </w:p>
    <w:p w14:paraId="1F780022" w14:textId="78E7DFF6" w:rsidR="00DE5C89" w:rsidRPr="00235690" w:rsidRDefault="00DE5C89">
      <w:pPr>
        <w:spacing w:after="200" w:line="276" w:lineRule="auto"/>
        <w:ind w:firstLine="0"/>
        <w:jc w:val="left"/>
        <w:rPr>
          <w:sz w:val="20"/>
          <w:szCs w:val="20"/>
          <w:lang w:val="en-US"/>
        </w:rPr>
      </w:pPr>
      <w:r w:rsidRPr="00235690">
        <w:rPr>
          <w:sz w:val="20"/>
          <w:szCs w:val="20"/>
          <w:lang w:val="en-US"/>
        </w:rPr>
        <w:br w:type="page"/>
      </w:r>
    </w:p>
    <w:p w14:paraId="5FBF69CE" w14:textId="77777777" w:rsidR="00DE5C89" w:rsidRPr="00387E5E" w:rsidRDefault="00DE5C89" w:rsidP="00387E5E">
      <w:pPr>
        <w:pStyle w:val="Heading2"/>
        <w:spacing w:line="240" w:lineRule="auto"/>
        <w:rPr>
          <w:sz w:val="22"/>
          <w:szCs w:val="22"/>
        </w:rPr>
      </w:pPr>
      <w:r w:rsidRPr="00387E5E">
        <w:rPr>
          <w:sz w:val="22"/>
          <w:szCs w:val="22"/>
        </w:rPr>
        <w:lastRenderedPageBreak/>
        <w:t>References</w:t>
      </w:r>
    </w:p>
    <w:p w14:paraId="4D4AE8EA" w14:textId="37A61EBF" w:rsidR="00DE5C89" w:rsidRPr="00387E5E" w:rsidRDefault="00DE5C89" w:rsidP="00387E5E">
      <w:pPr>
        <w:ind w:left="284" w:hanging="284"/>
        <w:rPr>
          <w:color w:val="545454"/>
          <w:sz w:val="22"/>
          <w:szCs w:val="22"/>
          <w:shd w:val="clear" w:color="auto" w:fill="FFFFFF"/>
        </w:rPr>
      </w:pPr>
      <w:r w:rsidRPr="00387E5E">
        <w:rPr>
          <w:sz w:val="22"/>
          <w:szCs w:val="22"/>
        </w:rPr>
        <w:t xml:space="preserve">Albertini, M. and </w:t>
      </w:r>
      <w:proofErr w:type="spellStart"/>
      <w:r w:rsidRPr="00387E5E">
        <w:rPr>
          <w:sz w:val="22"/>
          <w:szCs w:val="22"/>
        </w:rPr>
        <w:t>Kohli</w:t>
      </w:r>
      <w:proofErr w:type="spellEnd"/>
      <w:r w:rsidRPr="00387E5E">
        <w:rPr>
          <w:sz w:val="22"/>
          <w:szCs w:val="22"/>
        </w:rPr>
        <w:t xml:space="preserve">, M. (2013) ‘The generational contract in the family’, </w:t>
      </w:r>
      <w:r w:rsidRPr="00387E5E">
        <w:rPr>
          <w:i/>
          <w:sz w:val="22"/>
          <w:szCs w:val="22"/>
        </w:rPr>
        <w:t>European Sociological Review</w:t>
      </w:r>
      <w:r w:rsidRPr="00387E5E">
        <w:rPr>
          <w:color w:val="545454"/>
          <w:sz w:val="22"/>
          <w:szCs w:val="22"/>
          <w:shd w:val="clear" w:color="auto" w:fill="FFFFFF"/>
        </w:rPr>
        <w:t xml:space="preserve"> 29(4): 828-40.</w:t>
      </w:r>
    </w:p>
    <w:p w14:paraId="4DD6341F" w14:textId="77777777" w:rsidR="00DE5C89" w:rsidRPr="00387E5E" w:rsidRDefault="00DE5C89" w:rsidP="00387E5E">
      <w:pPr>
        <w:ind w:left="284" w:hanging="284"/>
        <w:rPr>
          <w:bCs/>
          <w:sz w:val="22"/>
          <w:szCs w:val="22"/>
        </w:rPr>
      </w:pPr>
      <w:proofErr w:type="gramStart"/>
      <w:r w:rsidRPr="00387E5E">
        <w:rPr>
          <w:sz w:val="22"/>
          <w:szCs w:val="22"/>
        </w:rPr>
        <w:t xml:space="preserve">Albertini, M., </w:t>
      </w:r>
      <w:proofErr w:type="spellStart"/>
      <w:r w:rsidRPr="00387E5E">
        <w:rPr>
          <w:sz w:val="22"/>
          <w:szCs w:val="22"/>
        </w:rPr>
        <w:t>Kohli</w:t>
      </w:r>
      <w:proofErr w:type="spellEnd"/>
      <w:r w:rsidRPr="00387E5E">
        <w:rPr>
          <w:sz w:val="22"/>
          <w:szCs w:val="22"/>
        </w:rPr>
        <w:t>, M. and Vogel, C. (2007) ‘</w:t>
      </w:r>
      <w:r w:rsidRPr="00387E5E">
        <w:rPr>
          <w:bCs/>
          <w:sz w:val="22"/>
          <w:szCs w:val="22"/>
        </w:rPr>
        <w:t xml:space="preserve">Intergenerational transfers of time and money in European families’, </w:t>
      </w:r>
      <w:r w:rsidRPr="00387E5E">
        <w:rPr>
          <w:i/>
          <w:iCs/>
          <w:sz w:val="22"/>
          <w:szCs w:val="22"/>
        </w:rPr>
        <w:t xml:space="preserve">Journal of European Social Policy </w:t>
      </w:r>
      <w:r w:rsidRPr="00387E5E">
        <w:rPr>
          <w:iCs/>
          <w:sz w:val="22"/>
          <w:szCs w:val="22"/>
        </w:rPr>
        <w:t>(</w:t>
      </w:r>
      <w:r w:rsidRPr="00387E5E">
        <w:rPr>
          <w:sz w:val="22"/>
          <w:szCs w:val="22"/>
        </w:rPr>
        <w:t>17)4: 319–34.</w:t>
      </w:r>
      <w:proofErr w:type="gramEnd"/>
    </w:p>
    <w:p w14:paraId="2D9A5E4F" w14:textId="77777777" w:rsidR="00DE5C89" w:rsidRPr="00387E5E" w:rsidRDefault="00DE5C89" w:rsidP="00387E5E">
      <w:pPr>
        <w:ind w:left="284" w:hanging="284"/>
        <w:rPr>
          <w:sz w:val="22"/>
          <w:szCs w:val="22"/>
        </w:rPr>
      </w:pPr>
      <w:proofErr w:type="spellStart"/>
      <w:r w:rsidRPr="00387E5E">
        <w:rPr>
          <w:sz w:val="22"/>
          <w:szCs w:val="22"/>
        </w:rPr>
        <w:t>Alessie</w:t>
      </w:r>
      <w:proofErr w:type="spellEnd"/>
      <w:r w:rsidRPr="00387E5E">
        <w:rPr>
          <w:sz w:val="22"/>
          <w:szCs w:val="22"/>
        </w:rPr>
        <w:t xml:space="preserve">, R., </w:t>
      </w:r>
      <w:proofErr w:type="spellStart"/>
      <w:r w:rsidRPr="00387E5E">
        <w:rPr>
          <w:sz w:val="22"/>
          <w:szCs w:val="22"/>
        </w:rPr>
        <w:t>Angelini</w:t>
      </w:r>
      <w:proofErr w:type="spellEnd"/>
      <w:r w:rsidRPr="00387E5E">
        <w:rPr>
          <w:sz w:val="22"/>
          <w:szCs w:val="22"/>
        </w:rPr>
        <w:t xml:space="preserve">, V. and </w:t>
      </w:r>
      <w:proofErr w:type="spellStart"/>
      <w:r w:rsidRPr="00387E5E">
        <w:rPr>
          <w:sz w:val="22"/>
          <w:szCs w:val="22"/>
        </w:rPr>
        <w:t>Pasini</w:t>
      </w:r>
      <w:proofErr w:type="spellEnd"/>
      <w:r w:rsidRPr="00387E5E">
        <w:rPr>
          <w:sz w:val="22"/>
          <w:szCs w:val="22"/>
        </w:rPr>
        <w:t xml:space="preserve">, G. (2014) ‘Is it true love? Altruism versus exchange in time and money transfers’, </w:t>
      </w:r>
      <w:r w:rsidRPr="00387E5E">
        <w:rPr>
          <w:i/>
          <w:sz w:val="22"/>
          <w:szCs w:val="22"/>
        </w:rPr>
        <w:t>De Economist</w:t>
      </w:r>
      <w:r w:rsidRPr="00387E5E">
        <w:rPr>
          <w:sz w:val="22"/>
          <w:szCs w:val="22"/>
        </w:rPr>
        <w:t xml:space="preserve"> 162(2): 193-213.</w:t>
      </w:r>
    </w:p>
    <w:p w14:paraId="58F9176F" w14:textId="27AF69C0" w:rsidR="007E1ECD" w:rsidRDefault="007E1ECD" w:rsidP="00387E5E">
      <w:pPr>
        <w:ind w:left="284" w:hanging="284"/>
        <w:rPr>
          <w:sz w:val="22"/>
          <w:szCs w:val="22"/>
        </w:rPr>
      </w:pPr>
      <w:proofErr w:type="spellStart"/>
      <w:proofErr w:type="gramStart"/>
      <w:r>
        <w:rPr>
          <w:sz w:val="22"/>
          <w:szCs w:val="22"/>
        </w:rPr>
        <w:t>Alstott</w:t>
      </w:r>
      <w:proofErr w:type="spellEnd"/>
      <w:r>
        <w:rPr>
          <w:sz w:val="22"/>
          <w:szCs w:val="22"/>
        </w:rPr>
        <w:t xml:space="preserve">, A. (2004) </w:t>
      </w:r>
      <w:r w:rsidRPr="007E1ECD">
        <w:rPr>
          <w:i/>
          <w:sz w:val="22"/>
          <w:szCs w:val="22"/>
        </w:rPr>
        <w:t>No Exit</w:t>
      </w:r>
      <w:r>
        <w:rPr>
          <w:i/>
          <w:sz w:val="22"/>
          <w:szCs w:val="22"/>
        </w:rPr>
        <w:t>.</w:t>
      </w:r>
      <w:proofErr w:type="gramEnd"/>
      <w:r>
        <w:rPr>
          <w:sz w:val="22"/>
          <w:szCs w:val="22"/>
        </w:rPr>
        <w:t xml:space="preserve"> Oxford: Oxford University Press.</w:t>
      </w:r>
    </w:p>
    <w:p w14:paraId="1620B666" w14:textId="77777777" w:rsidR="00DE5C89" w:rsidRPr="00387E5E" w:rsidRDefault="00DE5C89" w:rsidP="00387E5E">
      <w:pPr>
        <w:ind w:left="284" w:hanging="284"/>
        <w:rPr>
          <w:sz w:val="22"/>
          <w:szCs w:val="22"/>
        </w:rPr>
      </w:pPr>
      <w:proofErr w:type="spellStart"/>
      <w:r w:rsidRPr="00387E5E">
        <w:rPr>
          <w:sz w:val="22"/>
          <w:szCs w:val="22"/>
        </w:rPr>
        <w:t>Aviezer</w:t>
      </w:r>
      <w:proofErr w:type="spellEnd"/>
      <w:r w:rsidRPr="00387E5E">
        <w:rPr>
          <w:sz w:val="22"/>
          <w:szCs w:val="22"/>
        </w:rPr>
        <w:t xml:space="preserve">, O., van </w:t>
      </w:r>
      <w:proofErr w:type="spellStart"/>
      <w:r w:rsidRPr="00387E5E">
        <w:rPr>
          <w:sz w:val="22"/>
          <w:szCs w:val="22"/>
        </w:rPr>
        <w:t>Ijzendoorn</w:t>
      </w:r>
      <w:proofErr w:type="spellEnd"/>
      <w:r w:rsidRPr="00387E5E">
        <w:rPr>
          <w:sz w:val="22"/>
          <w:szCs w:val="22"/>
        </w:rPr>
        <w:t xml:space="preserve">, M., </w:t>
      </w:r>
      <w:proofErr w:type="spellStart"/>
      <w:r w:rsidRPr="00387E5E">
        <w:rPr>
          <w:sz w:val="22"/>
          <w:szCs w:val="22"/>
        </w:rPr>
        <w:t>Sagi</w:t>
      </w:r>
      <w:proofErr w:type="spellEnd"/>
      <w:r w:rsidRPr="00387E5E">
        <w:rPr>
          <w:sz w:val="22"/>
          <w:szCs w:val="22"/>
        </w:rPr>
        <w:t xml:space="preserve">, A. and </w:t>
      </w:r>
      <w:proofErr w:type="spellStart"/>
      <w:r w:rsidRPr="00387E5E">
        <w:rPr>
          <w:sz w:val="22"/>
          <w:szCs w:val="22"/>
        </w:rPr>
        <w:t>Schuengel</w:t>
      </w:r>
      <w:proofErr w:type="spellEnd"/>
      <w:r w:rsidRPr="00387E5E">
        <w:rPr>
          <w:sz w:val="22"/>
          <w:szCs w:val="22"/>
        </w:rPr>
        <w:t xml:space="preserve">, C. (1994) ‘”Children of the dream” revisited: 70 years of collective early childcare in Israeli kibbutzim’, </w:t>
      </w:r>
      <w:r w:rsidRPr="00387E5E">
        <w:rPr>
          <w:i/>
          <w:sz w:val="22"/>
          <w:szCs w:val="22"/>
        </w:rPr>
        <w:t>Psychological Bulletin</w:t>
      </w:r>
      <w:r w:rsidRPr="00387E5E">
        <w:rPr>
          <w:sz w:val="22"/>
          <w:szCs w:val="22"/>
        </w:rPr>
        <w:t xml:space="preserve"> 116(1):99-116.</w:t>
      </w:r>
    </w:p>
    <w:p w14:paraId="0D22F155" w14:textId="36945C7A" w:rsidR="008F5DEB" w:rsidRPr="00387E5E" w:rsidRDefault="008F5DEB" w:rsidP="00387E5E">
      <w:pPr>
        <w:ind w:left="567" w:hanging="567"/>
        <w:rPr>
          <w:sz w:val="22"/>
          <w:szCs w:val="22"/>
          <w:lang w:val="en-US"/>
        </w:rPr>
      </w:pPr>
      <w:r w:rsidRPr="00387E5E">
        <w:rPr>
          <w:sz w:val="22"/>
          <w:szCs w:val="22"/>
          <w:lang w:val="en-US"/>
        </w:rPr>
        <w:t xml:space="preserve">Bailey, M. and </w:t>
      </w:r>
      <w:proofErr w:type="spellStart"/>
      <w:r w:rsidRPr="00387E5E">
        <w:rPr>
          <w:sz w:val="22"/>
          <w:szCs w:val="22"/>
          <w:lang w:val="en-US"/>
        </w:rPr>
        <w:t>Dynarsky</w:t>
      </w:r>
      <w:proofErr w:type="spellEnd"/>
      <w:r w:rsidRPr="00387E5E">
        <w:rPr>
          <w:sz w:val="22"/>
          <w:szCs w:val="22"/>
          <w:lang w:val="en-US"/>
        </w:rPr>
        <w:t xml:space="preserve">, S. (2011), </w:t>
      </w:r>
      <w:r w:rsidR="00585664" w:rsidRPr="00387E5E">
        <w:rPr>
          <w:sz w:val="22"/>
          <w:szCs w:val="22"/>
          <w:lang w:val="en-US"/>
        </w:rPr>
        <w:t>‘</w:t>
      </w:r>
      <w:r w:rsidRPr="00387E5E">
        <w:rPr>
          <w:sz w:val="22"/>
          <w:szCs w:val="22"/>
          <w:lang w:val="en-US"/>
        </w:rPr>
        <w:t xml:space="preserve">Inequality in postsecondary education,’ in Duncan, G. and </w:t>
      </w:r>
      <w:proofErr w:type="spellStart"/>
      <w:r w:rsidRPr="00387E5E">
        <w:rPr>
          <w:sz w:val="22"/>
          <w:szCs w:val="22"/>
          <w:lang w:val="en-US"/>
        </w:rPr>
        <w:t>Murnane</w:t>
      </w:r>
      <w:proofErr w:type="spellEnd"/>
      <w:r w:rsidRPr="00387E5E">
        <w:rPr>
          <w:sz w:val="22"/>
          <w:szCs w:val="22"/>
          <w:lang w:val="en-US"/>
        </w:rPr>
        <w:t xml:space="preserve">, R., eds., </w:t>
      </w:r>
      <w:r w:rsidRPr="00387E5E">
        <w:rPr>
          <w:i/>
          <w:sz w:val="22"/>
          <w:szCs w:val="22"/>
          <w:lang w:val="en-US"/>
        </w:rPr>
        <w:t>Whither Opportunity</w:t>
      </w:r>
      <w:proofErr w:type="gramStart"/>
      <w:r w:rsidRPr="00387E5E">
        <w:rPr>
          <w:i/>
          <w:sz w:val="22"/>
          <w:szCs w:val="22"/>
          <w:lang w:val="en-US"/>
        </w:rPr>
        <w:t>?,</w:t>
      </w:r>
      <w:proofErr w:type="gramEnd"/>
      <w:r w:rsidRPr="00387E5E">
        <w:rPr>
          <w:sz w:val="22"/>
          <w:szCs w:val="22"/>
          <w:lang w:val="en-US"/>
        </w:rPr>
        <w:t xml:space="preserve"> New York: Russell Sage, 117-132.</w:t>
      </w:r>
    </w:p>
    <w:p w14:paraId="0002154A" w14:textId="77777777" w:rsidR="00DE5C89" w:rsidRPr="00387E5E" w:rsidRDefault="00DE5C89" w:rsidP="00387E5E">
      <w:pPr>
        <w:ind w:left="284" w:hanging="284"/>
        <w:rPr>
          <w:sz w:val="22"/>
          <w:szCs w:val="22"/>
        </w:rPr>
      </w:pPr>
      <w:r w:rsidRPr="00387E5E">
        <w:rPr>
          <w:sz w:val="22"/>
          <w:szCs w:val="22"/>
        </w:rPr>
        <w:t xml:space="preserve">Becker, G.S. and Murphy, K.M. (1988) ‘The family and the state’, </w:t>
      </w:r>
      <w:r w:rsidRPr="00387E5E">
        <w:rPr>
          <w:i/>
          <w:sz w:val="22"/>
          <w:szCs w:val="22"/>
        </w:rPr>
        <w:t>Journal of Law and Economics</w:t>
      </w:r>
      <w:r w:rsidRPr="00387E5E">
        <w:rPr>
          <w:sz w:val="22"/>
          <w:szCs w:val="22"/>
        </w:rPr>
        <w:t xml:space="preserve"> 31(1):1-18. </w:t>
      </w:r>
    </w:p>
    <w:p w14:paraId="6AF76E21" w14:textId="77777777" w:rsidR="00DE5C89" w:rsidRPr="00387E5E" w:rsidRDefault="00DE5C89" w:rsidP="00387E5E">
      <w:pPr>
        <w:ind w:left="284" w:hanging="284"/>
        <w:rPr>
          <w:sz w:val="22"/>
          <w:szCs w:val="22"/>
        </w:rPr>
      </w:pPr>
      <w:r w:rsidRPr="00387E5E">
        <w:rPr>
          <w:sz w:val="22"/>
          <w:szCs w:val="22"/>
        </w:rPr>
        <w:t>Beit-</w:t>
      </w:r>
      <w:proofErr w:type="spellStart"/>
      <w:r w:rsidRPr="00387E5E">
        <w:rPr>
          <w:sz w:val="22"/>
          <w:szCs w:val="22"/>
        </w:rPr>
        <w:t>Hallahmi</w:t>
      </w:r>
      <w:proofErr w:type="spellEnd"/>
      <w:r w:rsidRPr="00387E5E">
        <w:rPr>
          <w:sz w:val="22"/>
          <w:szCs w:val="22"/>
        </w:rPr>
        <w:t xml:space="preserve">, B. and Rabin, A.I. (1977) ‘The kibbutz as a social experiment and as a child-rearing laboratory’, </w:t>
      </w:r>
      <w:r w:rsidRPr="00387E5E">
        <w:rPr>
          <w:i/>
          <w:sz w:val="22"/>
          <w:szCs w:val="22"/>
        </w:rPr>
        <w:t>American Psychologist</w:t>
      </w:r>
      <w:r w:rsidRPr="00387E5E">
        <w:rPr>
          <w:sz w:val="22"/>
          <w:szCs w:val="22"/>
        </w:rPr>
        <w:t xml:space="preserve"> 32(7): 532-41.</w:t>
      </w:r>
    </w:p>
    <w:p w14:paraId="3148D550" w14:textId="77777777" w:rsidR="00DE5C89" w:rsidRPr="00387E5E" w:rsidRDefault="00DE5C89" w:rsidP="00387E5E">
      <w:pPr>
        <w:ind w:left="284" w:hanging="284"/>
        <w:rPr>
          <w:sz w:val="22"/>
          <w:szCs w:val="22"/>
        </w:rPr>
      </w:pPr>
      <w:proofErr w:type="spellStart"/>
      <w:r w:rsidRPr="00387E5E">
        <w:rPr>
          <w:sz w:val="22"/>
          <w:szCs w:val="22"/>
        </w:rPr>
        <w:t>Bittman</w:t>
      </w:r>
      <w:proofErr w:type="spellEnd"/>
      <w:r w:rsidRPr="00387E5E">
        <w:rPr>
          <w:sz w:val="22"/>
          <w:szCs w:val="22"/>
        </w:rPr>
        <w:t xml:space="preserve">, M. and </w:t>
      </w:r>
      <w:proofErr w:type="spellStart"/>
      <w:r w:rsidRPr="00387E5E">
        <w:rPr>
          <w:sz w:val="22"/>
          <w:szCs w:val="22"/>
        </w:rPr>
        <w:t>Wajcman</w:t>
      </w:r>
      <w:proofErr w:type="spellEnd"/>
      <w:r w:rsidRPr="00387E5E">
        <w:rPr>
          <w:sz w:val="22"/>
          <w:szCs w:val="22"/>
        </w:rPr>
        <w:t>, J. (2000) ‘</w:t>
      </w:r>
      <w:proofErr w:type="gramStart"/>
      <w:r w:rsidRPr="00387E5E">
        <w:rPr>
          <w:sz w:val="22"/>
          <w:szCs w:val="22"/>
        </w:rPr>
        <w:t>The</w:t>
      </w:r>
      <w:proofErr w:type="gramEnd"/>
      <w:r w:rsidRPr="00387E5E">
        <w:rPr>
          <w:sz w:val="22"/>
          <w:szCs w:val="22"/>
        </w:rPr>
        <w:t xml:space="preserve"> rush hour: The character of leisure time and gender equity’, </w:t>
      </w:r>
      <w:r w:rsidRPr="00387E5E">
        <w:rPr>
          <w:i/>
          <w:sz w:val="22"/>
          <w:szCs w:val="22"/>
        </w:rPr>
        <w:t>Social Forces</w:t>
      </w:r>
      <w:r w:rsidRPr="00387E5E">
        <w:rPr>
          <w:sz w:val="22"/>
          <w:szCs w:val="22"/>
        </w:rPr>
        <w:t xml:space="preserve"> 79(1): 165-90.</w:t>
      </w:r>
    </w:p>
    <w:p w14:paraId="5A7C48CD" w14:textId="276C67BB" w:rsidR="00D44FE8" w:rsidRPr="00387E5E" w:rsidRDefault="00D44FE8" w:rsidP="00387E5E">
      <w:pPr>
        <w:ind w:left="706" w:hanging="706"/>
        <w:rPr>
          <w:sz w:val="22"/>
          <w:szCs w:val="22"/>
        </w:rPr>
      </w:pPr>
      <w:proofErr w:type="spellStart"/>
      <w:r w:rsidRPr="00387E5E">
        <w:rPr>
          <w:sz w:val="22"/>
          <w:szCs w:val="22"/>
        </w:rPr>
        <w:t>Carneiro</w:t>
      </w:r>
      <w:proofErr w:type="spellEnd"/>
      <w:r w:rsidRPr="00387E5E">
        <w:rPr>
          <w:sz w:val="22"/>
          <w:szCs w:val="22"/>
        </w:rPr>
        <w:t xml:space="preserve">, P. and Heckman, J. (2003), 'Human Capital Policy,' in J. Heckman &amp; A. Krueger, </w:t>
      </w:r>
      <w:proofErr w:type="spellStart"/>
      <w:r w:rsidRPr="00387E5E">
        <w:rPr>
          <w:sz w:val="22"/>
          <w:szCs w:val="22"/>
        </w:rPr>
        <w:t>Eds</w:t>
      </w:r>
      <w:proofErr w:type="spellEnd"/>
      <w:r w:rsidRPr="00387E5E">
        <w:rPr>
          <w:sz w:val="22"/>
          <w:szCs w:val="22"/>
        </w:rPr>
        <w:t xml:space="preserve">, </w:t>
      </w:r>
      <w:r w:rsidRPr="00387E5E">
        <w:rPr>
          <w:i/>
          <w:sz w:val="22"/>
          <w:szCs w:val="22"/>
        </w:rPr>
        <w:t>Inequality in America</w:t>
      </w:r>
      <w:r w:rsidRPr="00387E5E">
        <w:rPr>
          <w:sz w:val="22"/>
          <w:szCs w:val="22"/>
        </w:rPr>
        <w:t xml:space="preserve">. </w:t>
      </w:r>
      <w:proofErr w:type="gramStart"/>
      <w:r w:rsidRPr="00387E5E">
        <w:rPr>
          <w:sz w:val="22"/>
          <w:szCs w:val="22"/>
        </w:rPr>
        <w:t>MIT Press.</w:t>
      </w:r>
      <w:proofErr w:type="gramEnd"/>
      <w:r w:rsidRPr="00387E5E">
        <w:rPr>
          <w:sz w:val="22"/>
          <w:szCs w:val="22"/>
        </w:rPr>
        <w:t xml:space="preserve"> Cambridge, MA.</w:t>
      </w:r>
    </w:p>
    <w:p w14:paraId="01D193FA" w14:textId="77777777" w:rsidR="00DE5C89" w:rsidRPr="00387E5E" w:rsidRDefault="00DE5C89" w:rsidP="00387E5E">
      <w:pPr>
        <w:ind w:left="284" w:hanging="284"/>
        <w:rPr>
          <w:sz w:val="22"/>
          <w:szCs w:val="22"/>
        </w:rPr>
      </w:pPr>
      <w:r w:rsidRPr="00387E5E">
        <w:rPr>
          <w:sz w:val="22"/>
          <w:szCs w:val="22"/>
        </w:rPr>
        <w:t xml:space="preserve">Cohen, J. and </w:t>
      </w:r>
      <w:proofErr w:type="spellStart"/>
      <w:r w:rsidRPr="00387E5E">
        <w:rPr>
          <w:sz w:val="22"/>
          <w:szCs w:val="22"/>
        </w:rPr>
        <w:t>Eiduson</w:t>
      </w:r>
      <w:proofErr w:type="spellEnd"/>
      <w:r w:rsidRPr="00387E5E">
        <w:rPr>
          <w:sz w:val="22"/>
          <w:szCs w:val="22"/>
        </w:rPr>
        <w:t xml:space="preserve">, B. (1976) ‘Changing patterns of childrearing in alternative life-styles’, in A. </w:t>
      </w:r>
      <w:proofErr w:type="spellStart"/>
      <w:r w:rsidRPr="00387E5E">
        <w:rPr>
          <w:sz w:val="22"/>
          <w:szCs w:val="22"/>
        </w:rPr>
        <w:t>Davids</w:t>
      </w:r>
      <w:proofErr w:type="spellEnd"/>
      <w:r w:rsidRPr="00387E5E">
        <w:rPr>
          <w:sz w:val="22"/>
          <w:szCs w:val="22"/>
        </w:rPr>
        <w:t xml:space="preserve"> (ed.), </w:t>
      </w:r>
      <w:r w:rsidRPr="00387E5E">
        <w:rPr>
          <w:i/>
          <w:sz w:val="22"/>
          <w:szCs w:val="22"/>
        </w:rPr>
        <w:t>Child Personality and Psychopathology Vol. 3</w:t>
      </w:r>
      <w:r w:rsidRPr="00387E5E">
        <w:rPr>
          <w:sz w:val="22"/>
          <w:szCs w:val="22"/>
        </w:rPr>
        <w:t>, New York: Wiley, pp. 25-68.</w:t>
      </w:r>
    </w:p>
    <w:p w14:paraId="60269F3B" w14:textId="77777777" w:rsidR="00DE5C89" w:rsidRPr="00387E5E" w:rsidRDefault="00DE5C89" w:rsidP="00387E5E">
      <w:pPr>
        <w:ind w:left="284" w:hanging="284"/>
        <w:rPr>
          <w:sz w:val="22"/>
          <w:szCs w:val="22"/>
        </w:rPr>
      </w:pPr>
      <w:r w:rsidRPr="00387E5E">
        <w:rPr>
          <w:sz w:val="22"/>
          <w:szCs w:val="22"/>
          <w:shd w:val="clear" w:color="auto" w:fill="FFFFFF"/>
        </w:rPr>
        <w:t xml:space="preserve">Coleman, J.S. (1990) </w:t>
      </w:r>
      <w:r w:rsidRPr="00387E5E">
        <w:rPr>
          <w:i/>
          <w:sz w:val="22"/>
          <w:szCs w:val="22"/>
          <w:shd w:val="clear" w:color="auto" w:fill="FFFFFF"/>
        </w:rPr>
        <w:t>Foundations of Social Theory</w:t>
      </w:r>
      <w:r w:rsidRPr="00387E5E">
        <w:rPr>
          <w:sz w:val="22"/>
          <w:szCs w:val="22"/>
          <w:shd w:val="clear" w:color="auto" w:fill="FFFFFF"/>
        </w:rPr>
        <w:t>, Cambridge MA: Harvard University Press</w:t>
      </w:r>
      <w:r w:rsidRPr="00387E5E">
        <w:rPr>
          <w:sz w:val="22"/>
          <w:szCs w:val="22"/>
        </w:rPr>
        <w:t>.</w:t>
      </w:r>
    </w:p>
    <w:p w14:paraId="503EC436" w14:textId="77777777" w:rsidR="00DE5C89" w:rsidRPr="00387E5E" w:rsidRDefault="00DE5C89" w:rsidP="00387E5E">
      <w:pPr>
        <w:ind w:left="284" w:hanging="284"/>
        <w:rPr>
          <w:sz w:val="22"/>
          <w:szCs w:val="22"/>
        </w:rPr>
      </w:pPr>
      <w:proofErr w:type="spellStart"/>
      <w:r w:rsidRPr="00387E5E">
        <w:rPr>
          <w:sz w:val="22"/>
          <w:szCs w:val="22"/>
          <w:shd w:val="clear" w:color="auto" w:fill="FFFFFF"/>
        </w:rPr>
        <w:t>Demeny</w:t>
      </w:r>
      <w:proofErr w:type="spellEnd"/>
      <w:r w:rsidRPr="00387E5E">
        <w:rPr>
          <w:sz w:val="22"/>
          <w:szCs w:val="22"/>
          <w:shd w:val="clear" w:color="auto" w:fill="FFFFFF"/>
        </w:rPr>
        <w:t xml:space="preserve">, P. (1987) </w:t>
      </w:r>
      <w:proofErr w:type="spellStart"/>
      <w:r w:rsidRPr="00387E5E">
        <w:rPr>
          <w:sz w:val="22"/>
          <w:szCs w:val="22"/>
          <w:shd w:val="clear" w:color="auto" w:fill="FFFFFF"/>
        </w:rPr>
        <w:t>‘Re</w:t>
      </w:r>
      <w:proofErr w:type="spellEnd"/>
      <w:r w:rsidRPr="00387E5E">
        <w:rPr>
          <w:sz w:val="22"/>
          <w:szCs w:val="22"/>
          <w:shd w:val="clear" w:color="auto" w:fill="FFFFFF"/>
        </w:rPr>
        <w:t xml:space="preserve">-linking fertility </w:t>
      </w:r>
      <w:proofErr w:type="spellStart"/>
      <w:r w:rsidRPr="00387E5E">
        <w:rPr>
          <w:sz w:val="22"/>
          <w:szCs w:val="22"/>
          <w:shd w:val="clear" w:color="auto" w:fill="FFFFFF"/>
        </w:rPr>
        <w:t>behavior</w:t>
      </w:r>
      <w:proofErr w:type="spellEnd"/>
      <w:r w:rsidRPr="00387E5E">
        <w:rPr>
          <w:sz w:val="22"/>
          <w:szCs w:val="22"/>
          <w:shd w:val="clear" w:color="auto" w:fill="FFFFFF"/>
        </w:rPr>
        <w:t xml:space="preserve"> and economic security in old age: A </w:t>
      </w:r>
      <w:proofErr w:type="spellStart"/>
      <w:r w:rsidRPr="00387E5E">
        <w:rPr>
          <w:sz w:val="22"/>
          <w:szCs w:val="22"/>
          <w:shd w:val="clear" w:color="auto" w:fill="FFFFFF"/>
        </w:rPr>
        <w:t>pronatalist</w:t>
      </w:r>
      <w:proofErr w:type="spellEnd"/>
      <w:r w:rsidRPr="00387E5E">
        <w:rPr>
          <w:sz w:val="22"/>
          <w:szCs w:val="22"/>
          <w:shd w:val="clear" w:color="auto" w:fill="FFFFFF"/>
        </w:rPr>
        <w:t xml:space="preserve"> reform’,</w:t>
      </w:r>
      <w:r w:rsidRPr="00387E5E">
        <w:rPr>
          <w:rStyle w:val="apple-converted-space"/>
          <w:color w:val="222222"/>
          <w:sz w:val="22"/>
          <w:szCs w:val="22"/>
          <w:shd w:val="clear" w:color="auto" w:fill="FFFFFF"/>
        </w:rPr>
        <w:t> </w:t>
      </w:r>
      <w:r w:rsidRPr="00387E5E">
        <w:rPr>
          <w:i/>
          <w:iCs/>
          <w:sz w:val="22"/>
          <w:szCs w:val="22"/>
          <w:shd w:val="clear" w:color="auto" w:fill="FFFFFF"/>
        </w:rPr>
        <w:t>Population and Development Review</w:t>
      </w:r>
      <w:r w:rsidRPr="00387E5E">
        <w:rPr>
          <w:rStyle w:val="apple-converted-space"/>
          <w:color w:val="222222"/>
          <w:sz w:val="22"/>
          <w:szCs w:val="22"/>
          <w:shd w:val="clear" w:color="auto" w:fill="FFFFFF"/>
        </w:rPr>
        <w:t> </w:t>
      </w:r>
      <w:r w:rsidRPr="00387E5E">
        <w:rPr>
          <w:sz w:val="22"/>
          <w:szCs w:val="22"/>
          <w:shd w:val="clear" w:color="auto" w:fill="FFFFFF"/>
        </w:rPr>
        <w:t>13: 128-32.</w:t>
      </w:r>
    </w:p>
    <w:p w14:paraId="12FA3019" w14:textId="1174E829" w:rsidR="00DE5C89" w:rsidRPr="00387E5E" w:rsidRDefault="00DE5C89" w:rsidP="00387E5E">
      <w:pPr>
        <w:ind w:left="284" w:hanging="284"/>
        <w:rPr>
          <w:sz w:val="22"/>
          <w:szCs w:val="22"/>
        </w:rPr>
      </w:pPr>
      <w:proofErr w:type="spellStart"/>
      <w:r w:rsidRPr="00387E5E">
        <w:rPr>
          <w:sz w:val="22"/>
          <w:szCs w:val="22"/>
        </w:rPr>
        <w:t>Donehower</w:t>
      </w:r>
      <w:proofErr w:type="spellEnd"/>
      <w:r w:rsidRPr="00387E5E">
        <w:rPr>
          <w:sz w:val="22"/>
          <w:szCs w:val="22"/>
        </w:rPr>
        <w:t xml:space="preserve">, G. (2011) ‘Incorporating gender and time use into NTA: National Time Transfer Accounts methodology’, </w:t>
      </w:r>
      <w:r w:rsidR="003629FC" w:rsidRPr="00387E5E">
        <w:rPr>
          <w:sz w:val="22"/>
          <w:szCs w:val="22"/>
        </w:rPr>
        <w:t>UC Berkeley</w:t>
      </w:r>
      <w:r w:rsidRPr="00387E5E">
        <w:rPr>
          <w:sz w:val="22"/>
          <w:szCs w:val="22"/>
        </w:rPr>
        <w:t xml:space="preserve">. </w:t>
      </w:r>
      <w:proofErr w:type="gramStart"/>
      <w:r w:rsidRPr="00387E5E">
        <w:rPr>
          <w:sz w:val="22"/>
          <w:szCs w:val="22"/>
        </w:rPr>
        <w:t>Manuscript.</w:t>
      </w:r>
      <w:proofErr w:type="gramEnd"/>
      <w:r w:rsidRPr="00387E5E">
        <w:rPr>
          <w:sz w:val="22"/>
          <w:szCs w:val="22"/>
        </w:rPr>
        <w:t xml:space="preserve"> </w:t>
      </w:r>
    </w:p>
    <w:p w14:paraId="444F69B8" w14:textId="30D3FB03" w:rsidR="008F5DEB" w:rsidRPr="00387E5E" w:rsidRDefault="008F5DEB" w:rsidP="00387E5E">
      <w:pPr>
        <w:ind w:left="567" w:hanging="567"/>
        <w:rPr>
          <w:sz w:val="22"/>
          <w:szCs w:val="22"/>
          <w:lang w:val="en-US"/>
        </w:rPr>
      </w:pPr>
      <w:r w:rsidRPr="00387E5E">
        <w:rPr>
          <w:sz w:val="22"/>
          <w:szCs w:val="22"/>
          <w:lang w:val="en-US"/>
        </w:rPr>
        <w:t xml:space="preserve">Duncan, G. and Magnusson, K. (2013), ‘Investing in preschool programs,’ </w:t>
      </w:r>
      <w:r w:rsidRPr="00387E5E">
        <w:rPr>
          <w:i/>
          <w:sz w:val="22"/>
          <w:szCs w:val="22"/>
          <w:lang w:val="en-US"/>
        </w:rPr>
        <w:t>Journal of Economic Perspectives</w:t>
      </w:r>
      <w:r w:rsidRPr="00387E5E">
        <w:rPr>
          <w:sz w:val="22"/>
          <w:szCs w:val="22"/>
          <w:lang w:val="en-US"/>
        </w:rPr>
        <w:t xml:space="preserve"> 27(2): 109-132.</w:t>
      </w:r>
    </w:p>
    <w:p w14:paraId="30E6EA44" w14:textId="1C026CEB" w:rsidR="008F5DEB" w:rsidRPr="00387E5E" w:rsidRDefault="008F5DEB" w:rsidP="00387E5E">
      <w:pPr>
        <w:pStyle w:val="NormalWeb"/>
        <w:spacing w:before="0" w:beforeAutospacing="0" w:after="0" w:afterAutospacing="0"/>
        <w:ind w:left="567" w:hanging="567"/>
        <w:jc w:val="both"/>
        <w:rPr>
          <w:sz w:val="22"/>
          <w:szCs w:val="22"/>
          <w:lang w:val="en-US"/>
        </w:rPr>
      </w:pPr>
      <w:proofErr w:type="spellStart"/>
      <w:r w:rsidRPr="00387E5E">
        <w:rPr>
          <w:sz w:val="22"/>
          <w:szCs w:val="22"/>
          <w:lang w:val="en-US"/>
        </w:rPr>
        <w:t>Dweck</w:t>
      </w:r>
      <w:proofErr w:type="spellEnd"/>
      <w:r w:rsidRPr="00387E5E">
        <w:rPr>
          <w:sz w:val="22"/>
          <w:szCs w:val="22"/>
          <w:lang w:val="en-US"/>
        </w:rPr>
        <w:t xml:space="preserve">, C. (2012), </w:t>
      </w:r>
      <w:r w:rsidRPr="00387E5E">
        <w:rPr>
          <w:i/>
          <w:sz w:val="22"/>
          <w:szCs w:val="22"/>
          <w:lang w:val="en-US"/>
        </w:rPr>
        <w:t>Mindset</w:t>
      </w:r>
      <w:r w:rsidRPr="00387E5E">
        <w:rPr>
          <w:sz w:val="22"/>
          <w:szCs w:val="22"/>
          <w:lang w:val="en-US"/>
        </w:rPr>
        <w:t>. New York: Robinson.</w:t>
      </w:r>
    </w:p>
    <w:p w14:paraId="2313F8D0" w14:textId="3FED8393" w:rsidR="00DE5C89" w:rsidRPr="00387E5E" w:rsidRDefault="00DE5C89" w:rsidP="00387E5E">
      <w:pPr>
        <w:ind w:left="284" w:hanging="284"/>
        <w:rPr>
          <w:sz w:val="22"/>
          <w:szCs w:val="22"/>
        </w:rPr>
      </w:pPr>
      <w:proofErr w:type="spellStart"/>
      <w:r w:rsidRPr="00387E5E">
        <w:rPr>
          <w:sz w:val="22"/>
          <w:szCs w:val="22"/>
        </w:rPr>
        <w:t>Esping</w:t>
      </w:r>
      <w:proofErr w:type="spellEnd"/>
      <w:r w:rsidRPr="00387E5E">
        <w:rPr>
          <w:sz w:val="22"/>
          <w:szCs w:val="22"/>
        </w:rPr>
        <w:t>-Andersen, G. (2002) ‘A child-</w:t>
      </w:r>
      <w:proofErr w:type="spellStart"/>
      <w:r w:rsidRPr="00387E5E">
        <w:rPr>
          <w:sz w:val="22"/>
          <w:szCs w:val="22"/>
        </w:rPr>
        <w:t>centered</w:t>
      </w:r>
      <w:proofErr w:type="spellEnd"/>
      <w:r w:rsidRPr="00387E5E">
        <w:rPr>
          <w:sz w:val="22"/>
          <w:szCs w:val="22"/>
        </w:rPr>
        <w:t xml:space="preserve"> social investment strategy’, in G. </w:t>
      </w:r>
      <w:proofErr w:type="spellStart"/>
      <w:r w:rsidRPr="00387E5E">
        <w:rPr>
          <w:sz w:val="22"/>
          <w:szCs w:val="22"/>
        </w:rPr>
        <w:t>Esping</w:t>
      </w:r>
      <w:proofErr w:type="spellEnd"/>
      <w:r w:rsidRPr="00387E5E">
        <w:rPr>
          <w:sz w:val="22"/>
          <w:szCs w:val="22"/>
        </w:rPr>
        <w:t xml:space="preserve">-Andersen, </w:t>
      </w:r>
      <w:r w:rsidR="00585664" w:rsidRPr="00387E5E">
        <w:rPr>
          <w:sz w:val="22"/>
          <w:szCs w:val="22"/>
        </w:rPr>
        <w:t xml:space="preserve">et al. </w:t>
      </w:r>
      <w:r w:rsidRPr="00387E5E">
        <w:rPr>
          <w:sz w:val="22"/>
          <w:szCs w:val="22"/>
        </w:rPr>
        <w:t>(</w:t>
      </w:r>
      <w:proofErr w:type="spellStart"/>
      <w:r w:rsidRPr="00387E5E">
        <w:rPr>
          <w:sz w:val="22"/>
          <w:szCs w:val="22"/>
        </w:rPr>
        <w:t>eds</w:t>
      </w:r>
      <w:proofErr w:type="spellEnd"/>
      <w:r w:rsidRPr="00387E5E">
        <w:rPr>
          <w:sz w:val="22"/>
          <w:szCs w:val="22"/>
        </w:rPr>
        <w:t xml:space="preserve">), </w:t>
      </w:r>
      <w:r w:rsidRPr="00387E5E">
        <w:rPr>
          <w:i/>
          <w:sz w:val="22"/>
          <w:szCs w:val="22"/>
        </w:rPr>
        <w:t>Why We Need a New Welfare State</w:t>
      </w:r>
      <w:r w:rsidRPr="00387E5E">
        <w:rPr>
          <w:sz w:val="22"/>
          <w:szCs w:val="22"/>
        </w:rPr>
        <w:t>, Oxford: Oxford University Press, pp. 26–67.</w:t>
      </w:r>
    </w:p>
    <w:p w14:paraId="503D1336" w14:textId="77777777" w:rsidR="00DE5C89" w:rsidRPr="00387E5E" w:rsidRDefault="00DE5C89" w:rsidP="00387E5E">
      <w:pPr>
        <w:ind w:left="284" w:hanging="284"/>
        <w:rPr>
          <w:sz w:val="22"/>
          <w:szCs w:val="22"/>
        </w:rPr>
      </w:pPr>
      <w:proofErr w:type="spellStart"/>
      <w:r w:rsidRPr="00387E5E">
        <w:rPr>
          <w:sz w:val="22"/>
          <w:szCs w:val="22"/>
        </w:rPr>
        <w:t>Esping</w:t>
      </w:r>
      <w:proofErr w:type="spellEnd"/>
      <w:r w:rsidRPr="00387E5E">
        <w:rPr>
          <w:sz w:val="22"/>
          <w:szCs w:val="22"/>
        </w:rPr>
        <w:t xml:space="preserve">-Andersen, G. (2009) </w:t>
      </w:r>
      <w:proofErr w:type="gramStart"/>
      <w:r w:rsidRPr="00387E5E">
        <w:rPr>
          <w:i/>
          <w:sz w:val="22"/>
          <w:szCs w:val="22"/>
        </w:rPr>
        <w:t>The</w:t>
      </w:r>
      <w:proofErr w:type="gramEnd"/>
      <w:r w:rsidRPr="00387E5E">
        <w:rPr>
          <w:i/>
          <w:sz w:val="22"/>
          <w:szCs w:val="22"/>
        </w:rPr>
        <w:t xml:space="preserve"> Incomplete Revolution</w:t>
      </w:r>
      <w:r w:rsidRPr="00387E5E">
        <w:rPr>
          <w:sz w:val="22"/>
          <w:szCs w:val="22"/>
        </w:rPr>
        <w:t>, Cambridge UK: Polity Press.</w:t>
      </w:r>
    </w:p>
    <w:p w14:paraId="5216DBAD" w14:textId="77777777" w:rsidR="00DE5C89" w:rsidRPr="00387E5E" w:rsidRDefault="00DE5C89" w:rsidP="00387E5E">
      <w:pPr>
        <w:ind w:left="284" w:hanging="284"/>
        <w:rPr>
          <w:sz w:val="22"/>
          <w:szCs w:val="22"/>
        </w:rPr>
      </w:pPr>
      <w:proofErr w:type="spellStart"/>
      <w:r w:rsidRPr="00387E5E">
        <w:rPr>
          <w:sz w:val="22"/>
          <w:szCs w:val="22"/>
        </w:rPr>
        <w:t>Esping</w:t>
      </w:r>
      <w:proofErr w:type="spellEnd"/>
      <w:r w:rsidRPr="00387E5E">
        <w:rPr>
          <w:sz w:val="22"/>
          <w:szCs w:val="22"/>
        </w:rPr>
        <w:t xml:space="preserve">-Andersen, G. (2015) ‘The return of the family’, in P. </w:t>
      </w:r>
      <w:proofErr w:type="spellStart"/>
      <w:r w:rsidRPr="00387E5E">
        <w:rPr>
          <w:sz w:val="22"/>
          <w:szCs w:val="22"/>
        </w:rPr>
        <w:t>Beramendi</w:t>
      </w:r>
      <w:proofErr w:type="spellEnd"/>
      <w:r w:rsidRPr="00387E5E">
        <w:rPr>
          <w:sz w:val="22"/>
          <w:szCs w:val="22"/>
        </w:rPr>
        <w:t xml:space="preserve">, S. </w:t>
      </w:r>
      <w:proofErr w:type="spellStart"/>
      <w:r w:rsidRPr="00387E5E">
        <w:rPr>
          <w:sz w:val="22"/>
          <w:szCs w:val="22"/>
        </w:rPr>
        <w:t>Häusermann</w:t>
      </w:r>
      <w:proofErr w:type="spellEnd"/>
      <w:r w:rsidRPr="00387E5E">
        <w:rPr>
          <w:sz w:val="22"/>
          <w:szCs w:val="22"/>
        </w:rPr>
        <w:t xml:space="preserve">, H. </w:t>
      </w:r>
      <w:proofErr w:type="spellStart"/>
      <w:r w:rsidRPr="00387E5E">
        <w:rPr>
          <w:sz w:val="22"/>
          <w:szCs w:val="22"/>
        </w:rPr>
        <w:t>Kitschelt</w:t>
      </w:r>
      <w:proofErr w:type="spellEnd"/>
      <w:r w:rsidRPr="00387E5E">
        <w:rPr>
          <w:sz w:val="22"/>
          <w:szCs w:val="22"/>
        </w:rPr>
        <w:t xml:space="preserve"> and H. </w:t>
      </w:r>
      <w:proofErr w:type="spellStart"/>
      <w:r w:rsidRPr="00387E5E">
        <w:rPr>
          <w:sz w:val="22"/>
          <w:szCs w:val="22"/>
        </w:rPr>
        <w:t>Kriesi</w:t>
      </w:r>
      <w:proofErr w:type="spellEnd"/>
      <w:r w:rsidRPr="00387E5E">
        <w:rPr>
          <w:sz w:val="22"/>
          <w:szCs w:val="22"/>
        </w:rPr>
        <w:t xml:space="preserve"> (</w:t>
      </w:r>
      <w:proofErr w:type="spellStart"/>
      <w:r w:rsidRPr="00387E5E">
        <w:rPr>
          <w:sz w:val="22"/>
          <w:szCs w:val="22"/>
        </w:rPr>
        <w:t>eds</w:t>
      </w:r>
      <w:proofErr w:type="spellEnd"/>
      <w:r w:rsidRPr="00387E5E">
        <w:rPr>
          <w:sz w:val="22"/>
          <w:szCs w:val="22"/>
        </w:rPr>
        <w:t xml:space="preserve">), </w:t>
      </w:r>
      <w:r w:rsidRPr="00387E5E">
        <w:rPr>
          <w:i/>
          <w:sz w:val="22"/>
          <w:szCs w:val="22"/>
        </w:rPr>
        <w:t>The Politics of Advanced Capitalism</w:t>
      </w:r>
      <w:r w:rsidRPr="00387E5E">
        <w:rPr>
          <w:sz w:val="22"/>
          <w:szCs w:val="22"/>
        </w:rPr>
        <w:t>, Cambridge UK: Cambridge University Press, pp. 157-78.</w:t>
      </w:r>
    </w:p>
    <w:p w14:paraId="51F66C9D" w14:textId="77777777" w:rsidR="00DE5C89" w:rsidRPr="00387E5E" w:rsidRDefault="00DE5C89" w:rsidP="00387E5E">
      <w:pPr>
        <w:ind w:left="284" w:hanging="284"/>
        <w:rPr>
          <w:sz w:val="22"/>
          <w:szCs w:val="22"/>
        </w:rPr>
      </w:pPr>
      <w:r w:rsidRPr="00387E5E">
        <w:rPr>
          <w:sz w:val="22"/>
          <w:szCs w:val="22"/>
        </w:rPr>
        <w:t xml:space="preserve">European Communities (2003) </w:t>
      </w:r>
      <w:r w:rsidRPr="00387E5E">
        <w:rPr>
          <w:i/>
          <w:sz w:val="22"/>
          <w:szCs w:val="22"/>
        </w:rPr>
        <w:t>Household Production and Consumption: Proposal for a Methodology of Household Satellite Accounts</w:t>
      </w:r>
      <w:r w:rsidRPr="00387E5E">
        <w:rPr>
          <w:sz w:val="22"/>
          <w:szCs w:val="22"/>
        </w:rPr>
        <w:t>, Luxembourg: Office for Official Publications.</w:t>
      </w:r>
    </w:p>
    <w:p w14:paraId="4E0880FD" w14:textId="0813BD80" w:rsidR="008F5DEB" w:rsidRPr="00387E5E" w:rsidRDefault="008F5DEB" w:rsidP="00387E5E">
      <w:pPr>
        <w:pStyle w:val="References"/>
        <w:spacing w:before="0"/>
        <w:ind w:left="567" w:hanging="567"/>
        <w:jc w:val="both"/>
        <w:rPr>
          <w:rFonts w:ascii="Times New Roman" w:hAnsi="Times New Roman"/>
          <w:szCs w:val="22"/>
        </w:rPr>
      </w:pPr>
      <w:proofErr w:type="spellStart"/>
      <w:proofErr w:type="gramStart"/>
      <w:r w:rsidRPr="00387E5E">
        <w:rPr>
          <w:rFonts w:ascii="Times New Roman" w:hAnsi="Times New Roman"/>
          <w:szCs w:val="22"/>
        </w:rPr>
        <w:t>Farkas</w:t>
      </w:r>
      <w:proofErr w:type="spellEnd"/>
      <w:r w:rsidRPr="00387E5E">
        <w:rPr>
          <w:rFonts w:ascii="Times New Roman" w:hAnsi="Times New Roman"/>
          <w:szCs w:val="22"/>
        </w:rPr>
        <w:t xml:space="preserve">, G. (2011), ‘Middle and high school skills, </w:t>
      </w:r>
      <w:proofErr w:type="spellStart"/>
      <w:r w:rsidRPr="00387E5E">
        <w:rPr>
          <w:rFonts w:ascii="Times New Roman" w:hAnsi="Times New Roman"/>
          <w:szCs w:val="22"/>
        </w:rPr>
        <w:t>beha</w:t>
      </w:r>
      <w:r w:rsidR="003629FC" w:rsidRPr="00387E5E">
        <w:rPr>
          <w:rFonts w:ascii="Times New Roman" w:hAnsi="Times New Roman"/>
          <w:szCs w:val="22"/>
        </w:rPr>
        <w:t>viors</w:t>
      </w:r>
      <w:proofErr w:type="spellEnd"/>
      <w:r w:rsidR="003629FC" w:rsidRPr="00387E5E">
        <w:rPr>
          <w:rFonts w:ascii="Times New Roman" w:hAnsi="Times New Roman"/>
          <w:szCs w:val="22"/>
        </w:rPr>
        <w:t>, attitudes, and curriculu</w:t>
      </w:r>
      <w:r w:rsidR="002E3A38" w:rsidRPr="00387E5E">
        <w:rPr>
          <w:rFonts w:ascii="Times New Roman" w:hAnsi="Times New Roman"/>
          <w:szCs w:val="22"/>
        </w:rPr>
        <w:t xml:space="preserve">m </w:t>
      </w:r>
      <w:proofErr w:type="spellStart"/>
      <w:r w:rsidR="002E3A38" w:rsidRPr="00387E5E">
        <w:rPr>
          <w:rFonts w:ascii="Times New Roman" w:hAnsi="Times New Roman"/>
          <w:szCs w:val="22"/>
        </w:rPr>
        <w:t>e</w:t>
      </w:r>
      <w:r w:rsidRPr="00387E5E">
        <w:rPr>
          <w:rFonts w:ascii="Times New Roman" w:hAnsi="Times New Roman"/>
          <w:szCs w:val="22"/>
        </w:rPr>
        <w:t>nrollment</w:t>
      </w:r>
      <w:proofErr w:type="spellEnd"/>
      <w:r w:rsidRPr="00387E5E">
        <w:rPr>
          <w:rFonts w:ascii="Times New Roman" w:hAnsi="Times New Roman"/>
          <w:szCs w:val="22"/>
        </w:rPr>
        <w:t xml:space="preserve">, and their consequences,’ </w:t>
      </w:r>
      <w:r w:rsidRPr="00387E5E">
        <w:rPr>
          <w:rFonts w:ascii="Times New Roman" w:hAnsi="Times New Roman"/>
          <w:szCs w:val="22"/>
          <w:lang w:val="en-US"/>
        </w:rPr>
        <w:t xml:space="preserve">in Duncan, G. and </w:t>
      </w:r>
      <w:proofErr w:type="spellStart"/>
      <w:r w:rsidRPr="00387E5E">
        <w:rPr>
          <w:rFonts w:ascii="Times New Roman" w:hAnsi="Times New Roman"/>
          <w:szCs w:val="22"/>
          <w:lang w:val="en-US"/>
        </w:rPr>
        <w:t>Murnane</w:t>
      </w:r>
      <w:proofErr w:type="spellEnd"/>
      <w:r w:rsidRPr="00387E5E">
        <w:rPr>
          <w:rFonts w:ascii="Times New Roman" w:hAnsi="Times New Roman"/>
          <w:szCs w:val="22"/>
          <w:lang w:val="en-US"/>
        </w:rPr>
        <w:t xml:space="preserve">, R., eds., </w:t>
      </w:r>
      <w:r w:rsidRPr="00387E5E">
        <w:rPr>
          <w:rFonts w:ascii="Times New Roman" w:hAnsi="Times New Roman"/>
          <w:i/>
          <w:szCs w:val="22"/>
          <w:lang w:val="en-US"/>
        </w:rPr>
        <w:t>Whither Opportunity?</w:t>
      </w:r>
      <w:proofErr w:type="gramEnd"/>
      <w:r w:rsidRPr="00387E5E">
        <w:rPr>
          <w:rFonts w:ascii="Times New Roman" w:hAnsi="Times New Roman"/>
          <w:i/>
          <w:szCs w:val="22"/>
          <w:lang w:val="en-US"/>
        </w:rPr>
        <w:t xml:space="preserve"> </w:t>
      </w:r>
      <w:r w:rsidRPr="00387E5E">
        <w:rPr>
          <w:rFonts w:ascii="Times New Roman" w:hAnsi="Times New Roman"/>
          <w:szCs w:val="22"/>
          <w:lang w:val="en-US"/>
        </w:rPr>
        <w:t>New York: Russell Sage, 71-90.</w:t>
      </w:r>
    </w:p>
    <w:p w14:paraId="75B1AB08" w14:textId="77777777" w:rsidR="00DE5C89" w:rsidRPr="00387E5E" w:rsidRDefault="00DE5C89" w:rsidP="00387E5E">
      <w:pPr>
        <w:ind w:left="284" w:hanging="284"/>
        <w:rPr>
          <w:sz w:val="22"/>
          <w:szCs w:val="22"/>
        </w:rPr>
      </w:pPr>
      <w:proofErr w:type="spellStart"/>
      <w:r w:rsidRPr="00387E5E">
        <w:rPr>
          <w:sz w:val="22"/>
          <w:szCs w:val="22"/>
        </w:rPr>
        <w:t>Folbre</w:t>
      </w:r>
      <w:proofErr w:type="spellEnd"/>
      <w:r w:rsidRPr="00387E5E">
        <w:rPr>
          <w:sz w:val="22"/>
          <w:szCs w:val="22"/>
        </w:rPr>
        <w:t>, N. (1994) ‘Children as public goods</w:t>
      </w:r>
      <w:r w:rsidRPr="00387E5E">
        <w:rPr>
          <w:sz w:val="22"/>
          <w:szCs w:val="22"/>
          <w:lang w:eastAsia="en-GB"/>
        </w:rPr>
        <w:t>’,</w:t>
      </w:r>
      <w:r w:rsidRPr="00387E5E">
        <w:rPr>
          <w:sz w:val="22"/>
          <w:szCs w:val="22"/>
        </w:rPr>
        <w:t xml:space="preserve"> </w:t>
      </w:r>
      <w:r w:rsidRPr="00387E5E">
        <w:rPr>
          <w:i/>
          <w:sz w:val="22"/>
          <w:szCs w:val="22"/>
        </w:rPr>
        <w:t>American Economic Review,</w:t>
      </w:r>
      <w:r w:rsidRPr="00387E5E">
        <w:rPr>
          <w:sz w:val="22"/>
          <w:szCs w:val="22"/>
        </w:rPr>
        <w:t xml:space="preserve"> 84(2): 86-90.</w:t>
      </w:r>
    </w:p>
    <w:p w14:paraId="3BFB569B" w14:textId="77777777" w:rsidR="00DE5C89" w:rsidRPr="00387E5E" w:rsidRDefault="00DE5C89" w:rsidP="00387E5E">
      <w:pPr>
        <w:ind w:left="284" w:hanging="284"/>
        <w:rPr>
          <w:sz w:val="22"/>
          <w:szCs w:val="22"/>
        </w:rPr>
      </w:pPr>
      <w:proofErr w:type="spellStart"/>
      <w:r w:rsidRPr="00387E5E">
        <w:rPr>
          <w:sz w:val="22"/>
          <w:szCs w:val="22"/>
        </w:rPr>
        <w:t>Folbre</w:t>
      </w:r>
      <w:proofErr w:type="spellEnd"/>
      <w:r w:rsidRPr="00387E5E">
        <w:rPr>
          <w:sz w:val="22"/>
          <w:szCs w:val="22"/>
        </w:rPr>
        <w:t xml:space="preserve">, N. (2008) </w:t>
      </w:r>
      <w:r w:rsidRPr="00387E5E">
        <w:rPr>
          <w:i/>
          <w:sz w:val="22"/>
          <w:szCs w:val="22"/>
        </w:rPr>
        <w:t>Valuing Children</w:t>
      </w:r>
      <w:r w:rsidRPr="00387E5E">
        <w:rPr>
          <w:sz w:val="22"/>
          <w:szCs w:val="22"/>
        </w:rPr>
        <w:t>, Cambridge MA: Harvard University Press.</w:t>
      </w:r>
    </w:p>
    <w:p w14:paraId="34364629" w14:textId="77777777" w:rsidR="00DE5C89" w:rsidRPr="00387E5E" w:rsidRDefault="00DE5C89" w:rsidP="00387E5E">
      <w:pPr>
        <w:ind w:left="284" w:hanging="284"/>
        <w:rPr>
          <w:sz w:val="22"/>
          <w:szCs w:val="22"/>
        </w:rPr>
      </w:pPr>
      <w:proofErr w:type="spellStart"/>
      <w:r w:rsidRPr="00387E5E">
        <w:rPr>
          <w:sz w:val="22"/>
          <w:szCs w:val="22"/>
        </w:rPr>
        <w:t>Frase</w:t>
      </w:r>
      <w:proofErr w:type="spellEnd"/>
      <w:r w:rsidRPr="00387E5E">
        <w:rPr>
          <w:sz w:val="22"/>
          <w:szCs w:val="22"/>
        </w:rPr>
        <w:t xml:space="preserve">, P. and </w:t>
      </w:r>
      <w:proofErr w:type="spellStart"/>
      <w:r w:rsidRPr="00387E5E">
        <w:rPr>
          <w:sz w:val="22"/>
          <w:szCs w:val="22"/>
        </w:rPr>
        <w:t>Gornick</w:t>
      </w:r>
      <w:proofErr w:type="spellEnd"/>
      <w:r w:rsidRPr="00387E5E">
        <w:rPr>
          <w:sz w:val="22"/>
          <w:szCs w:val="22"/>
        </w:rPr>
        <w:t xml:space="preserve">, J. (2013) ‘The </w:t>
      </w:r>
      <w:proofErr w:type="gramStart"/>
      <w:r w:rsidRPr="00387E5E">
        <w:rPr>
          <w:sz w:val="22"/>
          <w:szCs w:val="22"/>
        </w:rPr>
        <w:t>time divide</w:t>
      </w:r>
      <w:proofErr w:type="gramEnd"/>
      <w:r w:rsidRPr="00387E5E">
        <w:rPr>
          <w:sz w:val="22"/>
          <w:szCs w:val="22"/>
        </w:rPr>
        <w:t xml:space="preserve"> in cross-national perspective’, </w:t>
      </w:r>
      <w:r w:rsidRPr="00387E5E">
        <w:rPr>
          <w:i/>
          <w:sz w:val="22"/>
          <w:szCs w:val="22"/>
        </w:rPr>
        <w:t>Social Forces</w:t>
      </w:r>
      <w:r w:rsidRPr="00387E5E">
        <w:rPr>
          <w:sz w:val="22"/>
          <w:szCs w:val="22"/>
        </w:rPr>
        <w:t xml:space="preserve"> 91(3): 697-724.</w:t>
      </w:r>
    </w:p>
    <w:p w14:paraId="212E622C" w14:textId="77777777" w:rsidR="00DE5C89" w:rsidRPr="00387E5E" w:rsidRDefault="00DE5C89" w:rsidP="00387E5E">
      <w:pPr>
        <w:ind w:left="284" w:hanging="284"/>
        <w:rPr>
          <w:sz w:val="22"/>
          <w:szCs w:val="22"/>
        </w:rPr>
      </w:pPr>
      <w:proofErr w:type="spellStart"/>
      <w:r w:rsidRPr="00387E5E">
        <w:rPr>
          <w:sz w:val="22"/>
          <w:szCs w:val="22"/>
        </w:rPr>
        <w:t>Gershuny</w:t>
      </w:r>
      <w:proofErr w:type="spellEnd"/>
      <w:r w:rsidRPr="00387E5E">
        <w:rPr>
          <w:sz w:val="22"/>
          <w:szCs w:val="22"/>
        </w:rPr>
        <w:t xml:space="preserve">, J. (2000) </w:t>
      </w:r>
      <w:r w:rsidRPr="00387E5E">
        <w:rPr>
          <w:i/>
          <w:sz w:val="22"/>
          <w:szCs w:val="22"/>
        </w:rPr>
        <w:t>Changing Times</w:t>
      </w:r>
      <w:r w:rsidRPr="00387E5E">
        <w:rPr>
          <w:sz w:val="22"/>
          <w:szCs w:val="22"/>
        </w:rPr>
        <w:t>. Oxford: Oxford University Press.</w:t>
      </w:r>
    </w:p>
    <w:p w14:paraId="0B78EC35" w14:textId="77777777" w:rsidR="00DE5C89" w:rsidRPr="00387E5E" w:rsidRDefault="00DE5C89" w:rsidP="00387E5E">
      <w:pPr>
        <w:ind w:left="284" w:hanging="284"/>
        <w:rPr>
          <w:sz w:val="22"/>
          <w:szCs w:val="22"/>
        </w:rPr>
      </w:pPr>
      <w:r w:rsidRPr="00387E5E">
        <w:rPr>
          <w:sz w:val="22"/>
          <w:szCs w:val="22"/>
        </w:rPr>
        <w:t xml:space="preserve">Goldin, C. and Katz, L. (2008) </w:t>
      </w:r>
      <w:proofErr w:type="gramStart"/>
      <w:r w:rsidRPr="00387E5E">
        <w:rPr>
          <w:i/>
          <w:sz w:val="22"/>
          <w:szCs w:val="22"/>
        </w:rPr>
        <w:t>The</w:t>
      </w:r>
      <w:proofErr w:type="gramEnd"/>
      <w:r w:rsidRPr="00387E5E">
        <w:rPr>
          <w:i/>
          <w:sz w:val="22"/>
          <w:szCs w:val="22"/>
        </w:rPr>
        <w:t xml:space="preserve"> Race Between Education and Technology</w:t>
      </w:r>
      <w:r w:rsidRPr="00387E5E">
        <w:rPr>
          <w:sz w:val="22"/>
          <w:szCs w:val="22"/>
        </w:rPr>
        <w:t xml:space="preserve">. Cambridge MA: </w:t>
      </w:r>
      <w:proofErr w:type="spellStart"/>
      <w:r w:rsidRPr="00387E5E">
        <w:rPr>
          <w:sz w:val="22"/>
          <w:szCs w:val="22"/>
        </w:rPr>
        <w:t>Belknap</w:t>
      </w:r>
      <w:proofErr w:type="spellEnd"/>
      <w:r w:rsidRPr="00387E5E">
        <w:rPr>
          <w:sz w:val="22"/>
          <w:szCs w:val="22"/>
        </w:rPr>
        <w:t xml:space="preserve"> Press.</w:t>
      </w:r>
    </w:p>
    <w:p w14:paraId="32DA7625" w14:textId="06EF1EE1" w:rsidR="002E3A38" w:rsidRPr="00387E5E" w:rsidRDefault="002E3A38" w:rsidP="00387E5E">
      <w:pPr>
        <w:ind w:left="284" w:hanging="284"/>
        <w:rPr>
          <w:sz w:val="22"/>
          <w:szCs w:val="22"/>
        </w:rPr>
      </w:pPr>
      <w:proofErr w:type="gramStart"/>
      <w:r w:rsidRPr="00387E5E">
        <w:rPr>
          <w:sz w:val="22"/>
          <w:szCs w:val="22"/>
        </w:rPr>
        <w:t>Gonzalez-</w:t>
      </w:r>
      <w:proofErr w:type="spellStart"/>
      <w:r w:rsidRPr="00387E5E">
        <w:rPr>
          <w:sz w:val="22"/>
          <w:szCs w:val="22"/>
        </w:rPr>
        <w:t>Ricoy</w:t>
      </w:r>
      <w:proofErr w:type="spellEnd"/>
      <w:r w:rsidRPr="00387E5E">
        <w:rPr>
          <w:sz w:val="22"/>
          <w:szCs w:val="22"/>
        </w:rPr>
        <w:t xml:space="preserve">, I. and </w:t>
      </w:r>
      <w:proofErr w:type="spellStart"/>
      <w:r w:rsidRPr="00387E5E">
        <w:rPr>
          <w:sz w:val="22"/>
          <w:szCs w:val="22"/>
        </w:rPr>
        <w:t>Gosseries</w:t>
      </w:r>
      <w:proofErr w:type="spellEnd"/>
      <w:r w:rsidRPr="00387E5E">
        <w:rPr>
          <w:sz w:val="22"/>
          <w:szCs w:val="22"/>
        </w:rPr>
        <w:t xml:space="preserve">, A., eds. (2016) </w:t>
      </w:r>
      <w:r w:rsidRPr="00387E5E">
        <w:rPr>
          <w:i/>
          <w:sz w:val="22"/>
          <w:szCs w:val="22"/>
        </w:rPr>
        <w:t>Institutions for Future Generations</w:t>
      </w:r>
      <w:r w:rsidRPr="00387E5E">
        <w:rPr>
          <w:sz w:val="22"/>
          <w:szCs w:val="22"/>
        </w:rPr>
        <w:t>.</w:t>
      </w:r>
      <w:proofErr w:type="gramEnd"/>
      <w:r w:rsidRPr="00387E5E">
        <w:rPr>
          <w:sz w:val="22"/>
          <w:szCs w:val="22"/>
        </w:rPr>
        <w:t xml:space="preserve"> </w:t>
      </w:r>
      <w:proofErr w:type="gramStart"/>
      <w:r w:rsidRPr="00387E5E">
        <w:rPr>
          <w:sz w:val="22"/>
          <w:szCs w:val="22"/>
        </w:rPr>
        <w:t>Oxford University Press.</w:t>
      </w:r>
      <w:proofErr w:type="gramEnd"/>
    </w:p>
    <w:p w14:paraId="5EF40EAE" w14:textId="77777777" w:rsidR="00DE5C89" w:rsidRPr="00387E5E" w:rsidRDefault="00DE5C89" w:rsidP="00387E5E">
      <w:pPr>
        <w:ind w:left="284" w:hanging="284"/>
        <w:rPr>
          <w:sz w:val="22"/>
          <w:szCs w:val="22"/>
        </w:rPr>
      </w:pPr>
      <w:r w:rsidRPr="00387E5E">
        <w:rPr>
          <w:sz w:val="22"/>
          <w:szCs w:val="22"/>
        </w:rPr>
        <w:t xml:space="preserve">Heckman, J. (2004) 'Lessons from the technology of skill formation’, </w:t>
      </w:r>
      <w:r w:rsidRPr="00387E5E">
        <w:rPr>
          <w:i/>
          <w:sz w:val="22"/>
          <w:szCs w:val="22"/>
        </w:rPr>
        <w:t>Annals of the New York Academy of Sciences</w:t>
      </w:r>
      <w:r w:rsidRPr="00387E5E">
        <w:rPr>
          <w:sz w:val="22"/>
          <w:szCs w:val="22"/>
        </w:rPr>
        <w:t xml:space="preserve"> 1038(1): 179-200. </w:t>
      </w:r>
    </w:p>
    <w:p w14:paraId="53E41927" w14:textId="77777777" w:rsidR="00DE5C89" w:rsidRPr="00387E5E" w:rsidRDefault="00DE5C89" w:rsidP="00387E5E">
      <w:pPr>
        <w:ind w:left="284" w:hanging="284"/>
        <w:rPr>
          <w:sz w:val="22"/>
          <w:szCs w:val="22"/>
        </w:rPr>
      </w:pPr>
      <w:proofErr w:type="gramStart"/>
      <w:r w:rsidRPr="00387E5E">
        <w:rPr>
          <w:sz w:val="22"/>
          <w:szCs w:val="22"/>
        </w:rPr>
        <w:t xml:space="preserve">Heckman, J. (2013) </w:t>
      </w:r>
      <w:r w:rsidRPr="00387E5E">
        <w:rPr>
          <w:i/>
          <w:sz w:val="22"/>
          <w:szCs w:val="22"/>
        </w:rPr>
        <w:t>Giving Kids a Fair Chance</w:t>
      </w:r>
      <w:r w:rsidRPr="00387E5E">
        <w:rPr>
          <w:sz w:val="22"/>
          <w:szCs w:val="22"/>
        </w:rPr>
        <w:t>.</w:t>
      </w:r>
      <w:proofErr w:type="gramEnd"/>
      <w:r w:rsidRPr="00387E5E">
        <w:rPr>
          <w:sz w:val="22"/>
          <w:szCs w:val="22"/>
        </w:rPr>
        <w:t xml:space="preserve"> Cambridge MA: MIT Press.</w:t>
      </w:r>
    </w:p>
    <w:p w14:paraId="70A5D53E" w14:textId="77777777" w:rsidR="00DE5C89" w:rsidRPr="00387E5E" w:rsidRDefault="00DE5C89" w:rsidP="00387E5E">
      <w:pPr>
        <w:ind w:left="284" w:hanging="284"/>
        <w:rPr>
          <w:sz w:val="22"/>
          <w:szCs w:val="22"/>
        </w:rPr>
      </w:pPr>
      <w:r w:rsidRPr="00387E5E">
        <w:rPr>
          <w:sz w:val="22"/>
          <w:szCs w:val="22"/>
        </w:rPr>
        <w:lastRenderedPageBreak/>
        <w:t xml:space="preserve">Heckman, J. and </w:t>
      </w:r>
      <w:proofErr w:type="spellStart"/>
      <w:r w:rsidRPr="00387E5E">
        <w:rPr>
          <w:sz w:val="22"/>
          <w:szCs w:val="22"/>
        </w:rPr>
        <w:t>Masterov</w:t>
      </w:r>
      <w:proofErr w:type="spellEnd"/>
      <w:r w:rsidRPr="00387E5E">
        <w:rPr>
          <w:sz w:val="22"/>
          <w:szCs w:val="22"/>
        </w:rPr>
        <w:t xml:space="preserve">, J. (2007) ‘The productivity argument for investing in young children’, </w:t>
      </w:r>
      <w:r w:rsidRPr="00387E5E">
        <w:rPr>
          <w:i/>
          <w:sz w:val="22"/>
          <w:szCs w:val="22"/>
        </w:rPr>
        <w:t>Review of Agricultural Economics</w:t>
      </w:r>
      <w:r w:rsidRPr="00387E5E">
        <w:rPr>
          <w:sz w:val="22"/>
          <w:szCs w:val="22"/>
        </w:rPr>
        <w:t xml:space="preserve"> 29(3): 446–93.</w:t>
      </w:r>
    </w:p>
    <w:p w14:paraId="24F290D4" w14:textId="77777777" w:rsidR="00DE5C89" w:rsidRPr="00387E5E" w:rsidRDefault="00DE5C89" w:rsidP="00387E5E">
      <w:pPr>
        <w:ind w:left="284" w:hanging="284"/>
        <w:rPr>
          <w:i/>
          <w:sz w:val="22"/>
          <w:szCs w:val="22"/>
        </w:rPr>
      </w:pPr>
      <w:proofErr w:type="spellStart"/>
      <w:r w:rsidRPr="00387E5E">
        <w:rPr>
          <w:sz w:val="22"/>
          <w:szCs w:val="22"/>
        </w:rPr>
        <w:t>Hochschild</w:t>
      </w:r>
      <w:proofErr w:type="spellEnd"/>
      <w:r w:rsidRPr="00387E5E">
        <w:rPr>
          <w:sz w:val="22"/>
          <w:szCs w:val="22"/>
        </w:rPr>
        <w:t xml:space="preserve">, A.R. (1997) </w:t>
      </w:r>
      <w:r w:rsidRPr="00387E5E">
        <w:rPr>
          <w:i/>
          <w:sz w:val="22"/>
          <w:szCs w:val="22"/>
        </w:rPr>
        <w:t xml:space="preserve">The Time Bind. </w:t>
      </w:r>
      <w:r w:rsidRPr="00387E5E">
        <w:rPr>
          <w:sz w:val="22"/>
          <w:szCs w:val="22"/>
        </w:rPr>
        <w:t>New York: Henry Holt.</w:t>
      </w:r>
    </w:p>
    <w:p w14:paraId="08AADEAD" w14:textId="77777777" w:rsidR="00DE5C89" w:rsidRPr="00387E5E" w:rsidRDefault="00DE5C89" w:rsidP="00387E5E">
      <w:pPr>
        <w:ind w:left="284" w:hanging="284"/>
        <w:rPr>
          <w:sz w:val="22"/>
          <w:szCs w:val="22"/>
        </w:rPr>
      </w:pPr>
      <w:proofErr w:type="spellStart"/>
      <w:proofErr w:type="gramStart"/>
      <w:r w:rsidRPr="00387E5E">
        <w:rPr>
          <w:sz w:val="22"/>
          <w:szCs w:val="22"/>
        </w:rPr>
        <w:t>Istenič</w:t>
      </w:r>
      <w:proofErr w:type="spellEnd"/>
      <w:r w:rsidRPr="00387E5E">
        <w:rPr>
          <w:sz w:val="22"/>
          <w:szCs w:val="22"/>
        </w:rPr>
        <w:t xml:space="preserve">, T., </w:t>
      </w:r>
      <w:proofErr w:type="spellStart"/>
      <w:r w:rsidRPr="00387E5E">
        <w:rPr>
          <w:sz w:val="22"/>
          <w:szCs w:val="22"/>
        </w:rPr>
        <w:t>Šeme</w:t>
      </w:r>
      <w:proofErr w:type="spellEnd"/>
      <w:r w:rsidRPr="00387E5E">
        <w:rPr>
          <w:sz w:val="22"/>
          <w:szCs w:val="22"/>
        </w:rPr>
        <w:t xml:space="preserve">, A., Hammer, B., </w:t>
      </w:r>
      <w:proofErr w:type="spellStart"/>
      <w:r w:rsidRPr="00387E5E">
        <w:rPr>
          <w:sz w:val="22"/>
          <w:szCs w:val="22"/>
        </w:rPr>
        <w:t>Lotrič-Dolinar</w:t>
      </w:r>
      <w:proofErr w:type="spellEnd"/>
      <w:r w:rsidRPr="00387E5E">
        <w:rPr>
          <w:sz w:val="22"/>
          <w:szCs w:val="22"/>
        </w:rPr>
        <w:t xml:space="preserve">, A. and </w:t>
      </w:r>
      <w:proofErr w:type="spellStart"/>
      <w:r w:rsidRPr="00387E5E">
        <w:rPr>
          <w:sz w:val="22"/>
          <w:szCs w:val="22"/>
        </w:rPr>
        <w:t>Sambt</w:t>
      </w:r>
      <w:proofErr w:type="spellEnd"/>
      <w:r w:rsidRPr="00387E5E">
        <w:rPr>
          <w:sz w:val="22"/>
          <w:szCs w:val="22"/>
        </w:rPr>
        <w:t>, J. (2016) ‘European NTA manual’, Manuscript.</w:t>
      </w:r>
      <w:proofErr w:type="gramEnd"/>
    </w:p>
    <w:p w14:paraId="1E2D352B" w14:textId="77777777" w:rsidR="00DE5C89" w:rsidRPr="00387E5E" w:rsidRDefault="00DE5C89" w:rsidP="00387E5E">
      <w:pPr>
        <w:ind w:left="284" w:hanging="284"/>
        <w:rPr>
          <w:sz w:val="22"/>
          <w:szCs w:val="22"/>
        </w:rPr>
      </w:pPr>
      <w:r w:rsidRPr="00387E5E">
        <w:rPr>
          <w:sz w:val="22"/>
          <w:szCs w:val="22"/>
        </w:rPr>
        <w:t xml:space="preserve">Key, E.K.S. (1909) </w:t>
      </w:r>
      <w:proofErr w:type="gramStart"/>
      <w:r w:rsidRPr="00387E5E">
        <w:rPr>
          <w:i/>
          <w:sz w:val="22"/>
          <w:szCs w:val="22"/>
        </w:rPr>
        <w:t>The</w:t>
      </w:r>
      <w:proofErr w:type="gramEnd"/>
      <w:r w:rsidRPr="00387E5E">
        <w:rPr>
          <w:i/>
          <w:sz w:val="22"/>
          <w:szCs w:val="22"/>
        </w:rPr>
        <w:t xml:space="preserve"> Century of the Child</w:t>
      </w:r>
      <w:r w:rsidRPr="00387E5E">
        <w:rPr>
          <w:sz w:val="22"/>
          <w:szCs w:val="22"/>
        </w:rPr>
        <w:t>. New York: Putnam.</w:t>
      </w:r>
    </w:p>
    <w:p w14:paraId="475D6D71" w14:textId="77777777" w:rsidR="00DE5C89" w:rsidRPr="00387E5E" w:rsidRDefault="00DE5C89" w:rsidP="00387E5E">
      <w:pPr>
        <w:ind w:left="284" w:hanging="284"/>
        <w:rPr>
          <w:sz w:val="22"/>
          <w:szCs w:val="22"/>
        </w:rPr>
      </w:pPr>
      <w:r w:rsidRPr="00387E5E">
        <w:rPr>
          <w:sz w:val="22"/>
          <w:szCs w:val="22"/>
        </w:rPr>
        <w:t xml:space="preserve">Kotlikoff, L.J. and Burns, S. (2012) </w:t>
      </w:r>
      <w:r w:rsidRPr="00387E5E">
        <w:rPr>
          <w:i/>
          <w:sz w:val="22"/>
          <w:szCs w:val="22"/>
        </w:rPr>
        <w:t>The Clash of Generations</w:t>
      </w:r>
      <w:r w:rsidRPr="00387E5E">
        <w:rPr>
          <w:sz w:val="22"/>
          <w:szCs w:val="22"/>
        </w:rPr>
        <w:t>. Cambridge MA: MIT Press.</w:t>
      </w:r>
    </w:p>
    <w:p w14:paraId="663C5214" w14:textId="77777777" w:rsidR="00DE5C89" w:rsidRPr="00387E5E" w:rsidRDefault="00DE5C89" w:rsidP="00387E5E">
      <w:pPr>
        <w:ind w:left="284" w:hanging="284"/>
        <w:rPr>
          <w:sz w:val="22"/>
          <w:szCs w:val="22"/>
        </w:rPr>
      </w:pPr>
      <w:proofErr w:type="spellStart"/>
      <w:proofErr w:type="gramStart"/>
      <w:r w:rsidRPr="00387E5E">
        <w:rPr>
          <w:sz w:val="22"/>
          <w:szCs w:val="22"/>
        </w:rPr>
        <w:t>Lareau</w:t>
      </w:r>
      <w:proofErr w:type="spellEnd"/>
      <w:r w:rsidRPr="00387E5E">
        <w:rPr>
          <w:sz w:val="22"/>
          <w:szCs w:val="22"/>
        </w:rPr>
        <w:t xml:space="preserve">, A. (2003) </w:t>
      </w:r>
      <w:r w:rsidRPr="00387E5E">
        <w:rPr>
          <w:i/>
          <w:sz w:val="22"/>
          <w:szCs w:val="22"/>
        </w:rPr>
        <w:t>Unequal Childhoods</w:t>
      </w:r>
      <w:r w:rsidRPr="00387E5E">
        <w:rPr>
          <w:sz w:val="22"/>
          <w:szCs w:val="22"/>
        </w:rPr>
        <w:t>.</w:t>
      </w:r>
      <w:proofErr w:type="gramEnd"/>
      <w:r w:rsidRPr="00387E5E">
        <w:rPr>
          <w:sz w:val="22"/>
          <w:szCs w:val="22"/>
        </w:rPr>
        <w:t xml:space="preserve"> Berkeley: University of California Press.</w:t>
      </w:r>
    </w:p>
    <w:p w14:paraId="489575F6" w14:textId="051FA12F" w:rsidR="00DE5C89" w:rsidRPr="00387E5E" w:rsidRDefault="00DE5C89" w:rsidP="00387E5E">
      <w:pPr>
        <w:ind w:left="284" w:hanging="284"/>
        <w:rPr>
          <w:sz w:val="22"/>
          <w:szCs w:val="22"/>
        </w:rPr>
      </w:pPr>
      <w:r w:rsidRPr="00387E5E">
        <w:rPr>
          <w:sz w:val="22"/>
          <w:szCs w:val="22"/>
        </w:rPr>
        <w:t>Lee, R.D. (</w:t>
      </w:r>
      <w:r w:rsidR="00846FED" w:rsidRPr="00387E5E">
        <w:rPr>
          <w:sz w:val="22"/>
          <w:szCs w:val="22"/>
        </w:rPr>
        <w:t>1994</w:t>
      </w:r>
      <w:r w:rsidRPr="00387E5E">
        <w:rPr>
          <w:sz w:val="22"/>
          <w:szCs w:val="22"/>
        </w:rPr>
        <w:t xml:space="preserve">) ‘Population age structure, intergenerational transfers, and wealth’, </w:t>
      </w:r>
      <w:r w:rsidRPr="00387E5E">
        <w:rPr>
          <w:i/>
          <w:iCs/>
          <w:sz w:val="22"/>
          <w:szCs w:val="22"/>
        </w:rPr>
        <w:t>Journal of Human Resources</w:t>
      </w:r>
      <w:r w:rsidRPr="00387E5E">
        <w:rPr>
          <w:sz w:val="22"/>
          <w:szCs w:val="22"/>
        </w:rPr>
        <w:t xml:space="preserve"> 29(4): 1027-63.</w:t>
      </w:r>
    </w:p>
    <w:p w14:paraId="28DB2A45" w14:textId="77777777" w:rsidR="00DE5C89" w:rsidRPr="00387E5E" w:rsidRDefault="00DE5C89" w:rsidP="00387E5E">
      <w:pPr>
        <w:ind w:left="284" w:hanging="284"/>
        <w:rPr>
          <w:sz w:val="22"/>
          <w:szCs w:val="22"/>
        </w:rPr>
      </w:pPr>
      <w:r w:rsidRPr="00387E5E">
        <w:rPr>
          <w:sz w:val="22"/>
          <w:szCs w:val="22"/>
        </w:rPr>
        <w:t xml:space="preserve">Lee, R.D. (2012) ‘Intergenerational transfers, the biological life cycle, and human society’, </w:t>
      </w:r>
      <w:r w:rsidRPr="00387E5E">
        <w:rPr>
          <w:i/>
          <w:iCs/>
          <w:sz w:val="22"/>
          <w:szCs w:val="22"/>
        </w:rPr>
        <w:t>Population and Development Review</w:t>
      </w:r>
      <w:r w:rsidRPr="00387E5E">
        <w:rPr>
          <w:sz w:val="22"/>
          <w:szCs w:val="22"/>
        </w:rPr>
        <w:t xml:space="preserve"> 38: 23-35.</w:t>
      </w:r>
    </w:p>
    <w:p w14:paraId="7AF172FA" w14:textId="77777777" w:rsidR="00DE5C89" w:rsidRPr="00387E5E" w:rsidRDefault="00DE5C89" w:rsidP="00387E5E">
      <w:pPr>
        <w:ind w:left="284" w:hanging="284"/>
        <w:rPr>
          <w:sz w:val="22"/>
          <w:szCs w:val="22"/>
        </w:rPr>
      </w:pPr>
      <w:r w:rsidRPr="00387E5E">
        <w:rPr>
          <w:sz w:val="22"/>
          <w:szCs w:val="22"/>
        </w:rPr>
        <w:t>Lee, R.D. and Mason, A. (</w:t>
      </w:r>
      <w:proofErr w:type="spellStart"/>
      <w:proofErr w:type="gramStart"/>
      <w:r w:rsidRPr="00387E5E">
        <w:rPr>
          <w:sz w:val="22"/>
          <w:szCs w:val="22"/>
        </w:rPr>
        <w:t>eds</w:t>
      </w:r>
      <w:proofErr w:type="spellEnd"/>
      <w:proofErr w:type="gramEnd"/>
      <w:r w:rsidRPr="00387E5E">
        <w:rPr>
          <w:sz w:val="22"/>
          <w:szCs w:val="22"/>
        </w:rPr>
        <w:t xml:space="preserve">) (2011) </w:t>
      </w:r>
      <w:r w:rsidRPr="00387E5E">
        <w:rPr>
          <w:i/>
          <w:iCs/>
          <w:sz w:val="22"/>
          <w:szCs w:val="22"/>
        </w:rPr>
        <w:t>Population Aging and the Generational Economy</w:t>
      </w:r>
      <w:r w:rsidRPr="00387E5E">
        <w:rPr>
          <w:sz w:val="22"/>
          <w:szCs w:val="22"/>
        </w:rPr>
        <w:t>. Cheltenham: Edward Elgar.</w:t>
      </w:r>
    </w:p>
    <w:p w14:paraId="1BD4DFD4" w14:textId="77777777" w:rsidR="00DE5C89" w:rsidRPr="00387E5E" w:rsidRDefault="00DE5C89" w:rsidP="00387E5E">
      <w:pPr>
        <w:ind w:left="284" w:hanging="284"/>
        <w:rPr>
          <w:sz w:val="22"/>
          <w:szCs w:val="22"/>
        </w:rPr>
      </w:pPr>
      <w:r w:rsidRPr="00387E5E">
        <w:rPr>
          <w:sz w:val="22"/>
          <w:szCs w:val="22"/>
        </w:rPr>
        <w:t xml:space="preserve">Lynch, J. (2006) </w:t>
      </w:r>
      <w:r w:rsidRPr="00387E5E">
        <w:rPr>
          <w:i/>
          <w:sz w:val="22"/>
          <w:szCs w:val="22"/>
        </w:rPr>
        <w:t>Age in the Welfare State</w:t>
      </w:r>
      <w:r w:rsidRPr="00387E5E">
        <w:rPr>
          <w:sz w:val="22"/>
          <w:szCs w:val="22"/>
        </w:rPr>
        <w:t>, Cambridge UK: Cambridge University Press.</w:t>
      </w:r>
    </w:p>
    <w:p w14:paraId="2CCE8154" w14:textId="6F1ABC83" w:rsidR="00480865" w:rsidRDefault="00480865" w:rsidP="00387E5E">
      <w:pPr>
        <w:ind w:left="284" w:hanging="284"/>
        <w:rPr>
          <w:sz w:val="22"/>
          <w:szCs w:val="22"/>
        </w:rPr>
      </w:pPr>
      <w:proofErr w:type="spellStart"/>
      <w:r>
        <w:rPr>
          <w:sz w:val="22"/>
          <w:szCs w:val="22"/>
        </w:rPr>
        <w:t>McLanahan</w:t>
      </w:r>
      <w:proofErr w:type="spellEnd"/>
      <w:r>
        <w:rPr>
          <w:sz w:val="22"/>
          <w:szCs w:val="22"/>
        </w:rPr>
        <w:t xml:space="preserve">, S. (2004), ‘Diverging Destinies: How children are faring under the second demographic transition,’ </w:t>
      </w:r>
      <w:r w:rsidRPr="00480865">
        <w:rPr>
          <w:i/>
          <w:sz w:val="22"/>
          <w:szCs w:val="22"/>
        </w:rPr>
        <w:t>Demography</w:t>
      </w:r>
      <w:r>
        <w:rPr>
          <w:sz w:val="22"/>
          <w:szCs w:val="22"/>
        </w:rPr>
        <w:t xml:space="preserve"> 41(4): 607-627.</w:t>
      </w:r>
    </w:p>
    <w:p w14:paraId="509B76FF" w14:textId="094446EA" w:rsidR="00DE5C89" w:rsidRPr="00387E5E" w:rsidRDefault="00DE5C89" w:rsidP="00387E5E">
      <w:pPr>
        <w:ind w:left="284" w:hanging="284"/>
        <w:rPr>
          <w:sz w:val="22"/>
          <w:szCs w:val="22"/>
        </w:rPr>
      </w:pPr>
      <w:r w:rsidRPr="00387E5E">
        <w:rPr>
          <w:sz w:val="22"/>
          <w:szCs w:val="22"/>
        </w:rPr>
        <w:t xml:space="preserve">Morel, N., </w:t>
      </w:r>
      <w:proofErr w:type="spellStart"/>
      <w:r w:rsidRPr="00387E5E">
        <w:rPr>
          <w:sz w:val="22"/>
          <w:szCs w:val="22"/>
        </w:rPr>
        <w:t>Palier</w:t>
      </w:r>
      <w:proofErr w:type="spellEnd"/>
      <w:r w:rsidRPr="00387E5E">
        <w:rPr>
          <w:sz w:val="22"/>
          <w:szCs w:val="22"/>
        </w:rPr>
        <w:t>, B. and Palme, J. (</w:t>
      </w:r>
      <w:proofErr w:type="spellStart"/>
      <w:proofErr w:type="gramStart"/>
      <w:r w:rsidRPr="00387E5E">
        <w:rPr>
          <w:sz w:val="22"/>
          <w:szCs w:val="22"/>
        </w:rPr>
        <w:t>eds</w:t>
      </w:r>
      <w:proofErr w:type="spellEnd"/>
      <w:proofErr w:type="gramEnd"/>
      <w:r w:rsidRPr="00387E5E">
        <w:rPr>
          <w:sz w:val="22"/>
          <w:szCs w:val="22"/>
        </w:rPr>
        <w:t xml:space="preserve">) (2012) </w:t>
      </w:r>
      <w:r w:rsidRPr="00387E5E">
        <w:rPr>
          <w:i/>
          <w:sz w:val="22"/>
          <w:szCs w:val="22"/>
        </w:rPr>
        <w:t>Towards a Social Investment Welfare State?</w:t>
      </w:r>
      <w:r w:rsidRPr="00387E5E">
        <w:rPr>
          <w:sz w:val="22"/>
          <w:szCs w:val="22"/>
        </w:rPr>
        <w:t xml:space="preserve"> Bristol: The Policy Press.</w:t>
      </w:r>
    </w:p>
    <w:p w14:paraId="58A92CA8" w14:textId="2D1E88BA" w:rsidR="00480865" w:rsidRDefault="00480865" w:rsidP="00387E5E">
      <w:pPr>
        <w:ind w:left="284" w:hanging="284"/>
        <w:rPr>
          <w:sz w:val="22"/>
          <w:szCs w:val="22"/>
        </w:rPr>
      </w:pPr>
      <w:proofErr w:type="spellStart"/>
      <w:r>
        <w:rPr>
          <w:sz w:val="22"/>
          <w:szCs w:val="22"/>
        </w:rPr>
        <w:t>Olsaretti</w:t>
      </w:r>
      <w:proofErr w:type="spellEnd"/>
      <w:r>
        <w:rPr>
          <w:sz w:val="22"/>
          <w:szCs w:val="22"/>
        </w:rPr>
        <w:t xml:space="preserve">, S. (2013), ‘Children as public goods,’ </w:t>
      </w:r>
      <w:r w:rsidRPr="00480865">
        <w:rPr>
          <w:i/>
          <w:sz w:val="22"/>
          <w:szCs w:val="22"/>
        </w:rPr>
        <w:t>Philosophy and Public Affairs</w:t>
      </w:r>
      <w:r>
        <w:rPr>
          <w:sz w:val="22"/>
          <w:szCs w:val="22"/>
        </w:rPr>
        <w:t xml:space="preserve"> 41(3): 227-258.</w:t>
      </w:r>
    </w:p>
    <w:p w14:paraId="2A95B75E" w14:textId="77777777" w:rsidR="00DE5C89" w:rsidRPr="00387E5E" w:rsidRDefault="00DE5C89" w:rsidP="00387E5E">
      <w:pPr>
        <w:ind w:left="284" w:hanging="284"/>
        <w:rPr>
          <w:sz w:val="22"/>
          <w:szCs w:val="22"/>
        </w:rPr>
      </w:pPr>
      <w:r w:rsidRPr="00387E5E">
        <w:rPr>
          <w:sz w:val="22"/>
          <w:szCs w:val="22"/>
        </w:rPr>
        <w:t>Preston, S.H. (1984) ‘Children and the elderly: Divergent paths for America's dependents</w:t>
      </w:r>
      <w:r w:rsidRPr="00387E5E">
        <w:rPr>
          <w:sz w:val="22"/>
          <w:szCs w:val="22"/>
          <w:lang w:eastAsia="en-GB"/>
        </w:rPr>
        <w:t>’,</w:t>
      </w:r>
      <w:r w:rsidRPr="00387E5E">
        <w:rPr>
          <w:sz w:val="22"/>
          <w:szCs w:val="22"/>
        </w:rPr>
        <w:t xml:space="preserve"> </w:t>
      </w:r>
      <w:r w:rsidRPr="00387E5E">
        <w:rPr>
          <w:i/>
          <w:iCs/>
          <w:sz w:val="22"/>
          <w:szCs w:val="22"/>
        </w:rPr>
        <w:t xml:space="preserve">Demography </w:t>
      </w:r>
      <w:r w:rsidRPr="00387E5E">
        <w:rPr>
          <w:sz w:val="22"/>
          <w:szCs w:val="22"/>
        </w:rPr>
        <w:t>21(4): 435-57.</w:t>
      </w:r>
    </w:p>
    <w:p w14:paraId="4CA848F8" w14:textId="77777777" w:rsidR="00DE5C89" w:rsidRPr="00387E5E" w:rsidRDefault="00DE5C89" w:rsidP="00387E5E">
      <w:pPr>
        <w:ind w:left="284" w:hanging="284"/>
        <w:rPr>
          <w:sz w:val="22"/>
          <w:szCs w:val="22"/>
        </w:rPr>
      </w:pPr>
      <w:proofErr w:type="spellStart"/>
      <w:r w:rsidRPr="00387E5E">
        <w:rPr>
          <w:sz w:val="22"/>
          <w:szCs w:val="22"/>
        </w:rPr>
        <w:t>Schor</w:t>
      </w:r>
      <w:proofErr w:type="spellEnd"/>
      <w:r w:rsidRPr="00387E5E">
        <w:rPr>
          <w:sz w:val="22"/>
          <w:szCs w:val="22"/>
        </w:rPr>
        <w:t xml:space="preserve">, J. (1991) </w:t>
      </w:r>
      <w:proofErr w:type="gramStart"/>
      <w:r w:rsidRPr="00387E5E">
        <w:rPr>
          <w:i/>
          <w:sz w:val="22"/>
          <w:szCs w:val="22"/>
        </w:rPr>
        <w:t>The</w:t>
      </w:r>
      <w:proofErr w:type="gramEnd"/>
      <w:r w:rsidRPr="00387E5E">
        <w:rPr>
          <w:i/>
          <w:sz w:val="22"/>
          <w:szCs w:val="22"/>
        </w:rPr>
        <w:t xml:space="preserve"> Overworked American</w:t>
      </w:r>
      <w:r w:rsidRPr="00387E5E">
        <w:rPr>
          <w:sz w:val="22"/>
          <w:szCs w:val="22"/>
        </w:rPr>
        <w:t>. New York: Basic Books.</w:t>
      </w:r>
    </w:p>
    <w:p w14:paraId="38190167" w14:textId="77777777" w:rsidR="00B5207E" w:rsidRPr="00387E5E" w:rsidRDefault="00DE5C89" w:rsidP="00387E5E">
      <w:pPr>
        <w:ind w:left="284" w:hanging="284"/>
        <w:rPr>
          <w:sz w:val="22"/>
          <w:szCs w:val="22"/>
        </w:rPr>
      </w:pPr>
      <w:proofErr w:type="gramStart"/>
      <w:r w:rsidRPr="00387E5E">
        <w:rPr>
          <w:sz w:val="22"/>
          <w:szCs w:val="22"/>
        </w:rPr>
        <w:t xml:space="preserve">Sinn, H-W., and </w:t>
      </w:r>
      <w:proofErr w:type="spellStart"/>
      <w:r w:rsidRPr="00387E5E">
        <w:rPr>
          <w:sz w:val="22"/>
          <w:szCs w:val="22"/>
        </w:rPr>
        <w:t>Uebelmesser</w:t>
      </w:r>
      <w:proofErr w:type="spellEnd"/>
      <w:r w:rsidRPr="00387E5E">
        <w:rPr>
          <w:sz w:val="22"/>
          <w:szCs w:val="22"/>
        </w:rPr>
        <w:t xml:space="preserve">, S. (2002) ‘Pensions and the path to gerontocracy in Germany’, </w:t>
      </w:r>
      <w:r w:rsidRPr="00387E5E">
        <w:rPr>
          <w:i/>
          <w:iCs/>
          <w:sz w:val="22"/>
          <w:szCs w:val="22"/>
        </w:rPr>
        <w:t>European Journal of Political Economy</w:t>
      </w:r>
      <w:r w:rsidRPr="00387E5E">
        <w:rPr>
          <w:sz w:val="22"/>
          <w:szCs w:val="22"/>
        </w:rPr>
        <w:t xml:space="preserve"> 19: 153-8.</w:t>
      </w:r>
      <w:proofErr w:type="gramEnd"/>
    </w:p>
    <w:p w14:paraId="48EBCAC1" w14:textId="63A1F15C" w:rsidR="00B5207E" w:rsidRPr="00387E5E" w:rsidRDefault="00B5207E" w:rsidP="00387E5E">
      <w:pPr>
        <w:ind w:left="284" w:hanging="284"/>
        <w:rPr>
          <w:sz w:val="22"/>
          <w:szCs w:val="22"/>
        </w:rPr>
      </w:pPr>
      <w:r w:rsidRPr="00387E5E">
        <w:rPr>
          <w:bCs/>
          <w:sz w:val="22"/>
          <w:szCs w:val="22"/>
        </w:rPr>
        <w:t xml:space="preserve">Suh, J., and </w:t>
      </w:r>
      <w:proofErr w:type="spellStart"/>
      <w:r w:rsidRPr="00387E5E">
        <w:rPr>
          <w:bCs/>
          <w:sz w:val="22"/>
          <w:szCs w:val="22"/>
        </w:rPr>
        <w:t>Folbre</w:t>
      </w:r>
      <w:proofErr w:type="spellEnd"/>
      <w:r w:rsidRPr="00387E5E">
        <w:rPr>
          <w:bCs/>
          <w:sz w:val="22"/>
          <w:szCs w:val="22"/>
        </w:rPr>
        <w:t>, N. (2016), ’</w:t>
      </w:r>
      <w:hyperlink r:id="rId18" w:history="1">
        <w:proofErr w:type="gramStart"/>
        <w:r w:rsidRPr="00387E5E">
          <w:rPr>
            <w:rStyle w:val="Hyperlink"/>
            <w:bCs/>
            <w:color w:val="auto"/>
            <w:sz w:val="22"/>
            <w:szCs w:val="22"/>
            <w:u w:val="none"/>
          </w:rPr>
          <w:t>Valuing</w:t>
        </w:r>
        <w:proofErr w:type="gramEnd"/>
        <w:r w:rsidRPr="00387E5E">
          <w:rPr>
            <w:rStyle w:val="Hyperlink"/>
            <w:bCs/>
            <w:color w:val="auto"/>
            <w:sz w:val="22"/>
            <w:szCs w:val="22"/>
            <w:u w:val="none"/>
          </w:rPr>
          <w:t xml:space="preserve"> unpaid child c</w:t>
        </w:r>
        <w:r w:rsidR="00585664" w:rsidRPr="00387E5E">
          <w:rPr>
            <w:rStyle w:val="Hyperlink"/>
            <w:bCs/>
            <w:color w:val="auto"/>
            <w:sz w:val="22"/>
            <w:szCs w:val="22"/>
            <w:u w:val="none"/>
          </w:rPr>
          <w:t>are in the US</w:t>
        </w:r>
      </w:hyperlink>
      <w:r w:rsidRPr="00387E5E">
        <w:rPr>
          <w:bCs/>
          <w:sz w:val="22"/>
          <w:szCs w:val="22"/>
        </w:rPr>
        <w:t>,’</w:t>
      </w:r>
      <w:r w:rsidRPr="00387E5E">
        <w:rPr>
          <w:b/>
          <w:bCs/>
          <w:sz w:val="22"/>
          <w:szCs w:val="22"/>
        </w:rPr>
        <w:t xml:space="preserve"> </w:t>
      </w:r>
      <w:hyperlink r:id="rId19" w:tooltip="View journal information" w:history="1">
        <w:r w:rsidRPr="00387E5E">
          <w:rPr>
            <w:rStyle w:val="Hyperlink"/>
            <w:i/>
            <w:color w:val="auto"/>
            <w:sz w:val="22"/>
            <w:szCs w:val="22"/>
            <w:u w:val="none"/>
          </w:rPr>
          <w:t>Review of Income and Wealth</w:t>
        </w:r>
        <w:r w:rsidRPr="00387E5E">
          <w:rPr>
            <w:rStyle w:val="Hyperlink"/>
            <w:color w:val="auto"/>
            <w:sz w:val="22"/>
            <w:szCs w:val="22"/>
            <w:u w:val="none"/>
          </w:rPr>
          <w:t xml:space="preserve"> </w:t>
        </w:r>
      </w:hyperlink>
      <w:r w:rsidRPr="00387E5E">
        <w:rPr>
          <w:rStyle w:val="databold"/>
          <w:sz w:val="22"/>
          <w:szCs w:val="22"/>
        </w:rPr>
        <w:t>62</w:t>
      </w:r>
      <w:r w:rsidRPr="00387E5E">
        <w:rPr>
          <w:rStyle w:val="apple-converted-space"/>
          <w:sz w:val="22"/>
          <w:szCs w:val="22"/>
        </w:rPr>
        <w:t> (</w:t>
      </w:r>
      <w:r w:rsidRPr="00387E5E">
        <w:rPr>
          <w:rStyle w:val="databold"/>
          <w:sz w:val="22"/>
          <w:szCs w:val="22"/>
        </w:rPr>
        <w:t>4): 668-684.</w:t>
      </w:r>
      <w:r w:rsidRPr="00387E5E">
        <w:rPr>
          <w:rStyle w:val="apple-converted-space"/>
          <w:sz w:val="22"/>
          <w:szCs w:val="22"/>
        </w:rPr>
        <w:t> </w:t>
      </w:r>
    </w:p>
    <w:p w14:paraId="0FF08C29" w14:textId="77777777" w:rsidR="00DE5C89" w:rsidRPr="00387E5E" w:rsidRDefault="00DE5C89" w:rsidP="00387E5E">
      <w:pPr>
        <w:ind w:left="284" w:hanging="284"/>
        <w:rPr>
          <w:sz w:val="22"/>
          <w:szCs w:val="22"/>
        </w:rPr>
      </w:pPr>
      <w:r w:rsidRPr="00387E5E">
        <w:rPr>
          <w:sz w:val="22"/>
          <w:szCs w:val="22"/>
        </w:rPr>
        <w:t>Tepe, M. and Vanhuysse, P. (2009) ‘Are aging OECD welfare states on the path to gerontocracy?</w:t>
      </w:r>
      <w:proofErr w:type="gramStart"/>
      <w:r w:rsidRPr="00387E5E">
        <w:rPr>
          <w:sz w:val="22"/>
          <w:szCs w:val="22"/>
        </w:rPr>
        <w:t>’,</w:t>
      </w:r>
      <w:proofErr w:type="gramEnd"/>
      <w:r w:rsidRPr="00387E5E">
        <w:rPr>
          <w:sz w:val="22"/>
          <w:szCs w:val="22"/>
        </w:rPr>
        <w:t xml:space="preserve"> </w:t>
      </w:r>
      <w:r w:rsidRPr="00387E5E">
        <w:rPr>
          <w:i/>
          <w:sz w:val="22"/>
          <w:szCs w:val="22"/>
        </w:rPr>
        <w:t>Journal of Public Policy</w:t>
      </w:r>
      <w:r w:rsidRPr="00387E5E">
        <w:rPr>
          <w:sz w:val="22"/>
          <w:szCs w:val="22"/>
        </w:rPr>
        <w:t xml:space="preserve"> 29(1): 1-28.</w:t>
      </w:r>
    </w:p>
    <w:p w14:paraId="1A3DBE90" w14:textId="77777777" w:rsidR="00DE5C89" w:rsidRPr="00387E5E" w:rsidRDefault="00DE5C89" w:rsidP="00387E5E">
      <w:pPr>
        <w:ind w:left="284" w:hanging="284"/>
        <w:rPr>
          <w:sz w:val="22"/>
          <w:szCs w:val="22"/>
        </w:rPr>
      </w:pPr>
      <w:r w:rsidRPr="00387E5E">
        <w:rPr>
          <w:sz w:val="22"/>
          <w:szCs w:val="22"/>
        </w:rPr>
        <w:t>Tepe, M. and Vanhuysse, P. (2010) ‘Elderly bias, new social risks, and social spending: Change and timing in eight programs across four worlds of welfare, 1980–2003</w:t>
      </w:r>
      <w:r w:rsidRPr="00387E5E">
        <w:rPr>
          <w:sz w:val="22"/>
          <w:szCs w:val="22"/>
          <w:lang w:eastAsia="en-GB"/>
        </w:rPr>
        <w:t xml:space="preserve">’, </w:t>
      </w:r>
      <w:r w:rsidRPr="00387E5E">
        <w:rPr>
          <w:i/>
          <w:sz w:val="22"/>
          <w:szCs w:val="22"/>
        </w:rPr>
        <w:t>Journal of European Social Policy</w:t>
      </w:r>
      <w:r w:rsidRPr="00387E5E">
        <w:rPr>
          <w:sz w:val="22"/>
          <w:szCs w:val="22"/>
        </w:rPr>
        <w:t xml:space="preserve"> 20(3): 218-34.</w:t>
      </w:r>
    </w:p>
    <w:p w14:paraId="4DC46098" w14:textId="77777777" w:rsidR="00DE5C89" w:rsidRPr="00387E5E" w:rsidRDefault="00DE5C89" w:rsidP="00387E5E">
      <w:pPr>
        <w:ind w:left="284" w:hanging="284"/>
        <w:rPr>
          <w:sz w:val="22"/>
          <w:szCs w:val="22"/>
        </w:rPr>
      </w:pPr>
      <w:proofErr w:type="gramStart"/>
      <w:r w:rsidRPr="00387E5E">
        <w:rPr>
          <w:sz w:val="22"/>
          <w:szCs w:val="22"/>
        </w:rPr>
        <w:t xml:space="preserve">United Nations (2013) </w:t>
      </w:r>
      <w:r w:rsidRPr="00387E5E">
        <w:rPr>
          <w:i/>
          <w:iCs/>
          <w:sz w:val="22"/>
          <w:szCs w:val="22"/>
        </w:rPr>
        <w:t>National Transfer Accounts Manual</w:t>
      </w:r>
      <w:r w:rsidRPr="00387E5E">
        <w:rPr>
          <w:sz w:val="22"/>
          <w:szCs w:val="22"/>
        </w:rPr>
        <w:t>.</w:t>
      </w:r>
      <w:proofErr w:type="gramEnd"/>
      <w:r w:rsidRPr="00387E5E">
        <w:rPr>
          <w:sz w:val="22"/>
          <w:szCs w:val="22"/>
        </w:rPr>
        <w:t xml:space="preserve"> New York: UN.</w:t>
      </w:r>
    </w:p>
    <w:p w14:paraId="01BA8F99" w14:textId="77777777" w:rsidR="00DE5C89" w:rsidRPr="00387E5E" w:rsidRDefault="00DE5C89" w:rsidP="00387E5E">
      <w:pPr>
        <w:ind w:left="284" w:hanging="284"/>
        <w:rPr>
          <w:sz w:val="22"/>
          <w:szCs w:val="22"/>
        </w:rPr>
      </w:pPr>
      <w:r w:rsidRPr="00387E5E">
        <w:rPr>
          <w:sz w:val="22"/>
          <w:szCs w:val="22"/>
        </w:rPr>
        <w:t xml:space="preserve">Vanhuysse, P. (2013) </w:t>
      </w:r>
      <w:r w:rsidRPr="00387E5E">
        <w:rPr>
          <w:i/>
          <w:iCs/>
          <w:sz w:val="22"/>
          <w:szCs w:val="22"/>
        </w:rPr>
        <w:t>Intergenerational Justice in Aging Societies</w:t>
      </w:r>
      <w:r w:rsidRPr="00387E5E">
        <w:rPr>
          <w:iCs/>
          <w:sz w:val="22"/>
          <w:szCs w:val="22"/>
        </w:rPr>
        <w:t>.</w:t>
      </w:r>
      <w:r w:rsidRPr="00387E5E">
        <w:rPr>
          <w:sz w:val="22"/>
          <w:szCs w:val="22"/>
        </w:rPr>
        <w:t xml:space="preserve"> </w:t>
      </w:r>
      <w:proofErr w:type="spellStart"/>
      <w:r w:rsidRPr="00387E5E">
        <w:rPr>
          <w:sz w:val="22"/>
          <w:szCs w:val="22"/>
        </w:rPr>
        <w:t>Gütersloh</w:t>
      </w:r>
      <w:proofErr w:type="spellEnd"/>
      <w:r w:rsidRPr="00387E5E">
        <w:rPr>
          <w:sz w:val="22"/>
          <w:szCs w:val="22"/>
        </w:rPr>
        <w:t xml:space="preserve">: Bertelsmann </w:t>
      </w:r>
      <w:proofErr w:type="spellStart"/>
      <w:r w:rsidRPr="00387E5E">
        <w:rPr>
          <w:sz w:val="22"/>
          <w:szCs w:val="22"/>
        </w:rPr>
        <w:t>Stiftung</w:t>
      </w:r>
      <w:proofErr w:type="spellEnd"/>
      <w:r w:rsidRPr="00387E5E">
        <w:rPr>
          <w:sz w:val="22"/>
          <w:szCs w:val="22"/>
        </w:rPr>
        <w:t xml:space="preserve">. </w:t>
      </w:r>
    </w:p>
    <w:p w14:paraId="7E15D1A6" w14:textId="77777777" w:rsidR="00AE7F6F" w:rsidRPr="00AE7F6F" w:rsidRDefault="00AE7F6F" w:rsidP="00AE7F6F">
      <w:pPr>
        <w:ind w:left="709" w:hanging="709"/>
        <w:rPr>
          <w:sz w:val="22"/>
          <w:szCs w:val="22"/>
        </w:rPr>
      </w:pPr>
      <w:proofErr w:type="gramStart"/>
      <w:r w:rsidRPr="00AE7F6F">
        <w:rPr>
          <w:color w:val="1A1A1A"/>
          <w:sz w:val="22"/>
          <w:szCs w:val="22"/>
        </w:rPr>
        <w:t xml:space="preserve">Vanhuysse, P. (2014), ‘Intergenerational Justice and Public Policy in Europe,’ </w:t>
      </w:r>
      <w:r w:rsidRPr="00AE7F6F">
        <w:rPr>
          <w:i/>
          <w:color w:val="1A1A1A"/>
          <w:sz w:val="22"/>
          <w:szCs w:val="22"/>
        </w:rPr>
        <w:t>European Social Observatory (OSE) Paper Series</w:t>
      </w:r>
      <w:r w:rsidRPr="00AE7F6F">
        <w:rPr>
          <w:color w:val="1A1A1A"/>
          <w:sz w:val="22"/>
          <w:szCs w:val="22"/>
        </w:rPr>
        <w:t>, Opinion Paper No.16, March.</w:t>
      </w:r>
      <w:proofErr w:type="gramEnd"/>
      <w:r w:rsidRPr="00AE7F6F">
        <w:rPr>
          <w:sz w:val="22"/>
          <w:szCs w:val="22"/>
        </w:rPr>
        <w:t xml:space="preserve"> </w:t>
      </w:r>
    </w:p>
    <w:p w14:paraId="6D239508" w14:textId="7D9B636D" w:rsidR="00DE5C89" w:rsidRPr="00387E5E" w:rsidRDefault="00DE5C89" w:rsidP="00387E5E">
      <w:pPr>
        <w:ind w:left="284" w:hanging="284"/>
        <w:rPr>
          <w:bCs/>
          <w:sz w:val="22"/>
          <w:szCs w:val="22"/>
        </w:rPr>
      </w:pPr>
      <w:r w:rsidRPr="00387E5E">
        <w:rPr>
          <w:sz w:val="22"/>
          <w:szCs w:val="22"/>
        </w:rPr>
        <w:t>Vanhuysse, P. (2015) ‘Skills, stakes and clout: Early human capital foundations for European welfare futures’, in</w:t>
      </w:r>
      <w:r w:rsidR="00497678" w:rsidRPr="00387E5E">
        <w:rPr>
          <w:sz w:val="22"/>
          <w:szCs w:val="22"/>
        </w:rPr>
        <w:t xml:space="preserve"> </w:t>
      </w:r>
      <w:proofErr w:type="spellStart"/>
      <w:r w:rsidR="00497678" w:rsidRPr="00387E5E">
        <w:rPr>
          <w:sz w:val="22"/>
          <w:szCs w:val="22"/>
        </w:rPr>
        <w:t>B.Man</w:t>
      </w:r>
      <w:r w:rsidRPr="00387E5E">
        <w:rPr>
          <w:sz w:val="22"/>
          <w:szCs w:val="22"/>
        </w:rPr>
        <w:t>in</w:t>
      </w:r>
      <w:proofErr w:type="spellEnd"/>
      <w:r w:rsidRPr="00387E5E">
        <w:rPr>
          <w:sz w:val="22"/>
          <w:szCs w:val="22"/>
        </w:rPr>
        <w:t xml:space="preserve"> (ed.) </w:t>
      </w:r>
      <w:r w:rsidRPr="00387E5E">
        <w:rPr>
          <w:i/>
          <w:sz w:val="22"/>
          <w:szCs w:val="22"/>
        </w:rPr>
        <w:t>The Future of Welfare in a Global Europe</w:t>
      </w:r>
      <w:r w:rsidRPr="00387E5E">
        <w:rPr>
          <w:sz w:val="22"/>
          <w:szCs w:val="22"/>
        </w:rPr>
        <w:t xml:space="preserve">. </w:t>
      </w:r>
      <w:proofErr w:type="spellStart"/>
      <w:r w:rsidRPr="00387E5E">
        <w:rPr>
          <w:sz w:val="22"/>
          <w:szCs w:val="22"/>
        </w:rPr>
        <w:t>Alderschot</w:t>
      </w:r>
      <w:proofErr w:type="spellEnd"/>
      <w:r w:rsidRPr="00387E5E">
        <w:rPr>
          <w:sz w:val="22"/>
          <w:szCs w:val="22"/>
        </w:rPr>
        <w:t xml:space="preserve">: </w:t>
      </w:r>
      <w:proofErr w:type="spellStart"/>
      <w:r w:rsidRPr="00387E5E">
        <w:rPr>
          <w:sz w:val="22"/>
          <w:szCs w:val="22"/>
        </w:rPr>
        <w:t>Ashgate</w:t>
      </w:r>
      <w:proofErr w:type="spellEnd"/>
      <w:r w:rsidRPr="00387E5E">
        <w:rPr>
          <w:sz w:val="22"/>
          <w:szCs w:val="22"/>
        </w:rPr>
        <w:t>, pp. 267-96.</w:t>
      </w:r>
    </w:p>
    <w:p w14:paraId="09193372" w14:textId="77777777" w:rsidR="00DE5C89" w:rsidRPr="00387E5E" w:rsidRDefault="00DE5C89" w:rsidP="00387E5E">
      <w:pPr>
        <w:ind w:left="284" w:hanging="284"/>
        <w:rPr>
          <w:sz w:val="22"/>
          <w:szCs w:val="22"/>
        </w:rPr>
      </w:pPr>
      <w:r w:rsidRPr="00387E5E">
        <w:rPr>
          <w:sz w:val="22"/>
          <w:szCs w:val="22"/>
        </w:rPr>
        <w:t>Vanhuysse, P. and Goerres, A. (</w:t>
      </w:r>
      <w:proofErr w:type="spellStart"/>
      <w:proofErr w:type="gramStart"/>
      <w:r w:rsidRPr="00387E5E">
        <w:rPr>
          <w:sz w:val="22"/>
          <w:szCs w:val="22"/>
        </w:rPr>
        <w:t>eds</w:t>
      </w:r>
      <w:proofErr w:type="spellEnd"/>
      <w:proofErr w:type="gramEnd"/>
      <w:r w:rsidRPr="00387E5E">
        <w:rPr>
          <w:sz w:val="22"/>
          <w:szCs w:val="22"/>
        </w:rPr>
        <w:t xml:space="preserve">) (2012) </w:t>
      </w:r>
      <w:r w:rsidRPr="00387E5E">
        <w:rPr>
          <w:i/>
          <w:sz w:val="22"/>
          <w:szCs w:val="22"/>
        </w:rPr>
        <w:t>Ageing Populations in Post-Industrial Democracies</w:t>
      </w:r>
      <w:r w:rsidRPr="00387E5E">
        <w:rPr>
          <w:sz w:val="22"/>
          <w:szCs w:val="22"/>
        </w:rPr>
        <w:t>. Abingdon: Routledge.</w:t>
      </w:r>
    </w:p>
    <w:p w14:paraId="26D7573C" w14:textId="77777777" w:rsidR="00DE5C89" w:rsidRPr="00387E5E" w:rsidRDefault="00DE5C89" w:rsidP="00387E5E">
      <w:pPr>
        <w:ind w:left="284" w:hanging="284"/>
        <w:rPr>
          <w:rStyle w:val="Hyperlink"/>
          <w:color w:val="auto"/>
          <w:sz w:val="22"/>
          <w:szCs w:val="22"/>
          <w:u w:val="none"/>
        </w:rPr>
      </w:pPr>
      <w:r w:rsidRPr="00387E5E">
        <w:rPr>
          <w:sz w:val="22"/>
          <w:szCs w:val="22"/>
        </w:rPr>
        <w:t xml:space="preserve">Vargha, L., </w:t>
      </w:r>
      <w:proofErr w:type="spellStart"/>
      <w:r w:rsidRPr="00387E5E">
        <w:rPr>
          <w:sz w:val="22"/>
          <w:szCs w:val="22"/>
        </w:rPr>
        <w:t>Šeme</w:t>
      </w:r>
      <w:proofErr w:type="spellEnd"/>
      <w:r w:rsidRPr="00387E5E">
        <w:rPr>
          <w:sz w:val="22"/>
          <w:szCs w:val="22"/>
        </w:rPr>
        <w:t xml:space="preserve">, A. Gál, R.I., Hammer, B. and </w:t>
      </w:r>
      <w:proofErr w:type="spellStart"/>
      <w:r w:rsidRPr="00387E5E">
        <w:rPr>
          <w:sz w:val="22"/>
          <w:szCs w:val="22"/>
        </w:rPr>
        <w:t>Sambt</w:t>
      </w:r>
      <w:proofErr w:type="spellEnd"/>
      <w:r w:rsidRPr="00387E5E">
        <w:rPr>
          <w:sz w:val="22"/>
          <w:szCs w:val="22"/>
        </w:rPr>
        <w:t xml:space="preserve">, J. (2016) </w:t>
      </w:r>
      <w:r w:rsidRPr="00387E5E">
        <w:rPr>
          <w:i/>
          <w:sz w:val="22"/>
          <w:szCs w:val="22"/>
        </w:rPr>
        <w:t>European National Time Transfer Accounts</w:t>
      </w:r>
      <w:r w:rsidRPr="00387E5E">
        <w:rPr>
          <w:sz w:val="22"/>
          <w:szCs w:val="22"/>
        </w:rPr>
        <w:t xml:space="preserve">, </w:t>
      </w:r>
      <w:hyperlink r:id="rId20" w:history="1">
        <w:r w:rsidRPr="00387E5E">
          <w:rPr>
            <w:rStyle w:val="Hyperlink"/>
            <w:color w:val="auto"/>
            <w:sz w:val="22"/>
            <w:szCs w:val="22"/>
            <w:u w:val="none"/>
          </w:rPr>
          <w:t>http://witt.null2.net/shiny/agenta/</w:t>
        </w:r>
      </w:hyperlink>
    </w:p>
    <w:p w14:paraId="2E3A62D4" w14:textId="77777777" w:rsidR="00DE5C89" w:rsidRPr="00387E5E" w:rsidRDefault="00DE5C89" w:rsidP="00387E5E">
      <w:pPr>
        <w:ind w:left="284" w:hanging="284"/>
        <w:rPr>
          <w:sz w:val="22"/>
          <w:szCs w:val="22"/>
        </w:rPr>
      </w:pPr>
      <w:r w:rsidRPr="00387E5E">
        <w:rPr>
          <w:sz w:val="22"/>
          <w:szCs w:val="22"/>
        </w:rPr>
        <w:t xml:space="preserve">Vargha, L. and </w:t>
      </w:r>
      <w:proofErr w:type="spellStart"/>
      <w:r w:rsidRPr="00387E5E">
        <w:rPr>
          <w:sz w:val="22"/>
          <w:szCs w:val="22"/>
        </w:rPr>
        <w:t>Donehower</w:t>
      </w:r>
      <w:proofErr w:type="spellEnd"/>
      <w:r w:rsidRPr="00387E5E">
        <w:rPr>
          <w:sz w:val="22"/>
          <w:szCs w:val="22"/>
        </w:rPr>
        <w:t>, G. (2016) ‘</w:t>
      </w:r>
      <w:proofErr w:type="gramStart"/>
      <w:r w:rsidRPr="00387E5E">
        <w:rPr>
          <w:sz w:val="22"/>
          <w:szCs w:val="22"/>
        </w:rPr>
        <w:t>The</w:t>
      </w:r>
      <w:proofErr w:type="gramEnd"/>
      <w:r w:rsidRPr="00387E5E">
        <w:rPr>
          <w:sz w:val="22"/>
          <w:szCs w:val="22"/>
        </w:rPr>
        <w:t xml:space="preserve"> quantity/quality </w:t>
      </w:r>
      <w:proofErr w:type="spellStart"/>
      <w:r w:rsidRPr="00387E5E">
        <w:rPr>
          <w:sz w:val="22"/>
          <w:szCs w:val="22"/>
        </w:rPr>
        <w:t>tradeoff</w:t>
      </w:r>
      <w:proofErr w:type="spellEnd"/>
      <w:r w:rsidRPr="00387E5E">
        <w:rPr>
          <w:sz w:val="22"/>
          <w:szCs w:val="22"/>
        </w:rPr>
        <w:t>: A cross-country comparison of market and nonmarket investments per child in relation to fertility’, Manuscript.</w:t>
      </w:r>
    </w:p>
    <w:p w14:paraId="7287D33B" w14:textId="77777777" w:rsidR="00103D60" w:rsidRPr="00235690" w:rsidRDefault="00103D60" w:rsidP="00585664">
      <w:pPr>
        <w:spacing w:line="480" w:lineRule="auto"/>
        <w:ind w:firstLine="0"/>
        <w:rPr>
          <w:sz w:val="20"/>
          <w:szCs w:val="20"/>
        </w:rPr>
      </w:pPr>
    </w:p>
    <w:p w14:paraId="4E71DE03" w14:textId="77777777" w:rsidR="00C576AA" w:rsidRPr="00235690" w:rsidRDefault="00C576AA">
      <w:pPr>
        <w:spacing w:after="200" w:line="276" w:lineRule="auto"/>
        <w:ind w:firstLine="0"/>
        <w:jc w:val="left"/>
        <w:rPr>
          <w:rFonts w:eastAsiaTheme="majorEastAsia"/>
          <w:b/>
          <w:bCs/>
        </w:rPr>
      </w:pPr>
      <w:bookmarkStart w:id="29" w:name="_Toc473385534"/>
      <w:r w:rsidRPr="00235690">
        <w:br w:type="page"/>
      </w:r>
    </w:p>
    <w:p w14:paraId="79D0FDBF" w14:textId="3678AC2C" w:rsidR="00EE114B" w:rsidRPr="00EB1989" w:rsidRDefault="00DF4773" w:rsidP="00663CE9">
      <w:pPr>
        <w:pStyle w:val="Heading2"/>
      </w:pPr>
      <w:r w:rsidRPr="00235690">
        <w:lastRenderedPageBreak/>
        <w:t>N</w:t>
      </w:r>
      <w:r w:rsidR="00C12AC4" w:rsidRPr="00235690">
        <w:t>otes</w:t>
      </w:r>
      <w:bookmarkEnd w:id="29"/>
    </w:p>
    <w:sectPr w:rsidR="00EE114B" w:rsidRPr="00EB1989" w:rsidSect="00E60484">
      <w:headerReference w:type="default" r:id="rId21"/>
      <w:footerReference w:type="default" r:id="rId22"/>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74EB5" w14:textId="77777777" w:rsidR="00D44616" w:rsidRDefault="00D44616" w:rsidP="0074130C">
      <w:r>
        <w:separator/>
      </w:r>
    </w:p>
  </w:endnote>
  <w:endnote w:type="continuationSeparator" w:id="0">
    <w:p w14:paraId="25A4E435" w14:textId="77777777" w:rsidR="00D44616" w:rsidRDefault="00D44616" w:rsidP="0074130C">
      <w:r>
        <w:continuationSeparator/>
      </w:r>
    </w:p>
  </w:endnote>
  <w:endnote w:id="1">
    <w:p w14:paraId="5ADCAB79" w14:textId="77777777" w:rsidR="000F2700" w:rsidRPr="00387E5E" w:rsidRDefault="000F2700" w:rsidP="00387E5E">
      <w:pPr>
        <w:pStyle w:val="EndnoteText"/>
        <w:ind w:firstLine="0"/>
        <w:outlineLvl w:val="0"/>
      </w:pPr>
      <w:r w:rsidRPr="00C576AA">
        <w:rPr>
          <w:rStyle w:val="EndnoteReference"/>
          <w:sz w:val="24"/>
          <w:szCs w:val="24"/>
        </w:rPr>
        <w:endnoteRef/>
      </w:r>
      <w:r w:rsidRPr="00C576AA">
        <w:rPr>
          <w:sz w:val="24"/>
          <w:szCs w:val="24"/>
          <w:lang w:val="en-US"/>
        </w:rPr>
        <w:t xml:space="preserve"> </w:t>
      </w:r>
      <w:r w:rsidRPr="00387E5E">
        <w:t xml:space="preserve">Intergenerational transfers are defined here as the resources redistributed among </w:t>
      </w:r>
      <w:r w:rsidRPr="00387E5E">
        <w:rPr>
          <w:i/>
        </w:rPr>
        <w:t>current age groups</w:t>
      </w:r>
      <w:r w:rsidRPr="00387E5E">
        <w:t xml:space="preserve"> at a given moment in time, not diachronically between cohorts.</w:t>
      </w:r>
    </w:p>
  </w:endnote>
  <w:endnote w:id="2">
    <w:p w14:paraId="5637F275" w14:textId="6C324938" w:rsidR="000F2700" w:rsidRPr="00387E5E" w:rsidRDefault="000F2700" w:rsidP="00387E5E">
      <w:pPr>
        <w:pStyle w:val="EndnoteText"/>
        <w:ind w:firstLine="0"/>
        <w:outlineLvl w:val="0"/>
      </w:pPr>
      <w:r w:rsidRPr="00387E5E">
        <w:rPr>
          <w:rStyle w:val="EndnoteReference"/>
        </w:rPr>
        <w:endnoteRef/>
      </w:r>
      <w:r w:rsidRPr="00387E5E">
        <w:t xml:space="preserve"> For critical reviews, see Vanhuysse and Goerres (2012), Tepe and Vanhuysse (2009).</w:t>
      </w:r>
    </w:p>
  </w:endnote>
  <w:endnote w:id="3">
    <w:p w14:paraId="07505AB6" w14:textId="56C8EFC5" w:rsidR="000F2700" w:rsidRPr="00387E5E" w:rsidRDefault="000F2700" w:rsidP="00387E5E">
      <w:pPr>
        <w:pStyle w:val="EndnoteText"/>
        <w:ind w:firstLine="0"/>
      </w:pPr>
      <w:r w:rsidRPr="00387E5E">
        <w:rPr>
          <w:rStyle w:val="EndnoteReference"/>
        </w:rPr>
        <w:endnoteRef/>
      </w:r>
      <w:r w:rsidRPr="00387E5E">
        <w:t xml:space="preserve"> See </w:t>
      </w:r>
      <w:proofErr w:type="spellStart"/>
      <w:r w:rsidRPr="00387E5E">
        <w:t>Esping</w:t>
      </w:r>
      <w:proofErr w:type="spellEnd"/>
      <w:r w:rsidRPr="00387E5E">
        <w:t xml:space="preserve">-Andersen (2009), </w:t>
      </w:r>
      <w:proofErr w:type="spellStart"/>
      <w:r w:rsidRPr="00387E5E">
        <w:t>Folbre</w:t>
      </w:r>
      <w:proofErr w:type="spellEnd"/>
      <w:r w:rsidRPr="00387E5E">
        <w:t xml:space="preserve"> (1994; 2008), Heckman (</w:t>
      </w:r>
      <w:r w:rsidR="00D149D6" w:rsidRPr="00387E5E">
        <w:t xml:space="preserve">2004; </w:t>
      </w:r>
      <w:r w:rsidRPr="00387E5E">
        <w:t xml:space="preserve">2013). We view transfers to </w:t>
      </w:r>
      <w:r w:rsidRPr="00387E5E">
        <w:rPr>
          <w:i/>
        </w:rPr>
        <w:t>older</w:t>
      </w:r>
      <w:r w:rsidRPr="00387E5E">
        <w:t xml:space="preserve"> generations as predominantly financing </w:t>
      </w:r>
      <w:r w:rsidRPr="00387E5E">
        <w:rPr>
          <w:i/>
        </w:rPr>
        <w:t>consumption</w:t>
      </w:r>
      <w:r w:rsidRPr="00387E5E">
        <w:t xml:space="preserve">, not investment, as such transfers do not systematically produce significant positive returns (e.g. Heckman 2004; Heckman and </w:t>
      </w:r>
      <w:proofErr w:type="spellStart"/>
      <w:r w:rsidRPr="00387E5E">
        <w:t>Masterov</w:t>
      </w:r>
      <w:proofErr w:type="spellEnd"/>
      <w:r w:rsidRPr="00387E5E">
        <w:t xml:space="preserve"> 2007; </w:t>
      </w:r>
      <w:proofErr w:type="spellStart"/>
      <w:r w:rsidRPr="00387E5E">
        <w:t>Carneiro</w:t>
      </w:r>
      <w:proofErr w:type="spellEnd"/>
      <w:r w:rsidRPr="00387E5E">
        <w:t xml:space="preserve"> and Heckman 2003).</w:t>
      </w:r>
    </w:p>
  </w:endnote>
  <w:endnote w:id="4">
    <w:p w14:paraId="0580EB68" w14:textId="15411DC5" w:rsidR="000F2700" w:rsidRPr="00387E5E" w:rsidRDefault="000F2700" w:rsidP="00387E5E">
      <w:pPr>
        <w:pStyle w:val="EndnoteText"/>
        <w:ind w:firstLine="0"/>
        <w:outlineLvl w:val="0"/>
      </w:pPr>
      <w:r w:rsidRPr="00387E5E">
        <w:rPr>
          <w:rStyle w:val="EndnoteReference"/>
        </w:rPr>
        <w:endnoteRef/>
      </w:r>
      <w:r w:rsidRPr="00387E5E">
        <w:t xml:space="preserve"> By socialization we mean the arrangement of intergenerational reallocations by large-scale, anonymized institutions</w:t>
      </w:r>
      <w:r w:rsidR="002B7C36" w:rsidRPr="00387E5E">
        <w:t>,</w:t>
      </w:r>
      <w:r w:rsidRPr="00387E5E">
        <w:t xml:space="preserve"> rather than close kin or local communities. The former include governments (e.g., public child care, education, social security) but also non-profit organizations serving households and for-profit corporations (e.g., private schools, pension plans, insurance agencies) (Lee and Mason 2011:65).</w:t>
      </w:r>
    </w:p>
  </w:endnote>
  <w:endnote w:id="5">
    <w:p w14:paraId="10173575" w14:textId="42EFF3C7" w:rsidR="000F2700" w:rsidRPr="00387E5E" w:rsidRDefault="000F2700" w:rsidP="00387E5E">
      <w:pPr>
        <w:pStyle w:val="EndnoteText"/>
        <w:ind w:firstLine="0"/>
        <w:outlineLvl w:val="0"/>
      </w:pPr>
      <w:r w:rsidRPr="00387E5E">
        <w:rPr>
          <w:rStyle w:val="EndnoteReference"/>
        </w:rPr>
        <w:endnoteRef/>
      </w:r>
      <w:r w:rsidRPr="00387E5E">
        <w:t xml:space="preserve"> NTA was established by Lee (1994). An NTA manual was published by United Nations (2013); an introduction is Lee and Mason (2011).</w:t>
      </w:r>
    </w:p>
  </w:endnote>
  <w:endnote w:id="6">
    <w:p w14:paraId="5AD03949" w14:textId="5EF87EC8" w:rsidR="000F2700" w:rsidRPr="00387E5E" w:rsidRDefault="000F2700" w:rsidP="00387E5E">
      <w:pPr>
        <w:pStyle w:val="EndnoteText"/>
        <w:ind w:firstLine="0"/>
        <w:outlineLvl w:val="0"/>
      </w:pPr>
      <w:r w:rsidRPr="00387E5E">
        <w:rPr>
          <w:rStyle w:val="EndnoteReference"/>
        </w:rPr>
        <w:endnoteRef/>
      </w:r>
      <w:r w:rsidRPr="00387E5E">
        <w:t xml:space="preserve"> That is, other than the small fraction that is imputed in the national income by current statistical standards. Consumption of unpaid household labour is short for consumption of goods and services produced by the labour in question.</w:t>
      </w:r>
    </w:p>
  </w:endnote>
  <w:endnote w:id="7">
    <w:p w14:paraId="608FAAA1" w14:textId="3487BE19" w:rsidR="000F2700" w:rsidRPr="00387E5E" w:rsidRDefault="000F2700" w:rsidP="00387E5E">
      <w:pPr>
        <w:pStyle w:val="EndnoteText"/>
        <w:ind w:firstLine="0"/>
        <w:outlineLvl w:val="0"/>
      </w:pPr>
      <w:r w:rsidRPr="00387E5E">
        <w:rPr>
          <w:rStyle w:val="EndnoteReference"/>
        </w:rPr>
        <w:endnoteRef/>
      </w:r>
      <w:r w:rsidRPr="00387E5E">
        <w:t xml:space="preserve"> Since the tax-transfer systems and data sources vary across countries the technical details of</w:t>
      </w:r>
      <w:r w:rsidR="002B7C36" w:rsidRPr="00387E5E">
        <w:t xml:space="preserve"> producing the age profiles</w:t>
      </w:r>
      <w:r w:rsidRPr="00387E5E">
        <w:t xml:space="preserve"> differ.</w:t>
      </w:r>
      <w:r w:rsidRPr="00387E5E">
        <w:rPr>
          <w:color w:val="222222"/>
          <w:shd w:val="clear" w:color="auto" w:fill="FFFFFF"/>
        </w:rPr>
        <w:t xml:space="preserve"> </w:t>
      </w:r>
      <w:proofErr w:type="spellStart"/>
      <w:r w:rsidRPr="00387E5E">
        <w:rPr>
          <w:color w:val="222222"/>
          <w:shd w:val="clear" w:color="auto" w:fill="FFFFFF"/>
        </w:rPr>
        <w:t>Istenič</w:t>
      </w:r>
      <w:proofErr w:type="spellEnd"/>
      <w:r w:rsidRPr="00387E5E">
        <w:rPr>
          <w:color w:val="222222"/>
          <w:shd w:val="clear" w:color="auto" w:fill="FFFFFF"/>
        </w:rPr>
        <w:t xml:space="preserve"> </w:t>
      </w:r>
      <w:r w:rsidRPr="00387E5E">
        <w:rPr>
          <w:i/>
          <w:color w:val="222222"/>
          <w:shd w:val="clear" w:color="auto" w:fill="FFFFFF"/>
        </w:rPr>
        <w:t>et al</w:t>
      </w:r>
      <w:r w:rsidRPr="00387E5E">
        <w:rPr>
          <w:color w:val="222222"/>
          <w:shd w:val="clear" w:color="auto" w:fill="FFFFFF"/>
        </w:rPr>
        <w:t xml:space="preserve">. (2016) provide a standardized methodology for European datasets. </w:t>
      </w:r>
      <w:r w:rsidRPr="00387E5E">
        <w:t>The age profile of private transfers is derived from a household sharing model.</w:t>
      </w:r>
    </w:p>
  </w:endnote>
  <w:endnote w:id="8">
    <w:p w14:paraId="47A0EF47" w14:textId="1B0C973A" w:rsidR="000F2700" w:rsidRPr="00387E5E" w:rsidRDefault="000F2700" w:rsidP="00387E5E">
      <w:pPr>
        <w:pStyle w:val="EndnoteText"/>
        <w:ind w:firstLine="0"/>
        <w:outlineLvl w:val="0"/>
      </w:pPr>
      <w:r w:rsidRPr="00387E5E">
        <w:rPr>
          <w:rStyle w:val="EndnoteReference"/>
        </w:rPr>
        <w:endnoteRef/>
      </w:r>
      <w:r w:rsidRPr="00387E5E">
        <w:t xml:space="preserve"> Data can be downloaded from </w:t>
      </w:r>
      <w:hyperlink r:id="rId1" w:history="1">
        <w:r w:rsidRPr="00387E5E">
          <w:rPr>
            <w:rStyle w:val="Hyperlink"/>
            <w:color w:val="auto"/>
            <w:u w:val="none"/>
          </w:rPr>
          <w:t>www.ntaccounts.org</w:t>
        </w:r>
      </w:hyperlink>
    </w:p>
  </w:endnote>
  <w:endnote w:id="9">
    <w:p w14:paraId="79ED4C21" w14:textId="36CA0F74" w:rsidR="000F2700" w:rsidRPr="00387E5E" w:rsidRDefault="000F2700" w:rsidP="00387E5E">
      <w:pPr>
        <w:pStyle w:val="EndnoteText"/>
        <w:ind w:firstLine="0"/>
        <w:outlineLvl w:val="0"/>
      </w:pPr>
      <w:r w:rsidRPr="00387E5E">
        <w:rPr>
          <w:rStyle w:val="EndnoteReference"/>
        </w:rPr>
        <w:endnoteRef/>
      </w:r>
      <w:r w:rsidRPr="00387E5E">
        <w:t xml:space="preserve"> On top of market production NA also includes estimates of parts of non-market production such as volunteer work resulting in goods, household production for own use, and household production of housing services for owner-occupiers (European Communities 2003). This creates an overlap, marginal in Europe, which is not dealt with here.</w:t>
      </w:r>
    </w:p>
  </w:endnote>
  <w:endnote w:id="10">
    <w:p w14:paraId="3239EC59" w14:textId="1BFB6556" w:rsidR="000F2700" w:rsidRPr="00387E5E" w:rsidRDefault="000F2700" w:rsidP="00387E5E">
      <w:pPr>
        <w:pStyle w:val="EndnoteText"/>
        <w:ind w:firstLine="0"/>
        <w:outlineLvl w:val="0"/>
      </w:pPr>
      <w:r w:rsidRPr="00387E5E">
        <w:rPr>
          <w:rStyle w:val="EndnoteReference"/>
        </w:rPr>
        <w:endnoteRef/>
      </w:r>
      <w:r w:rsidRPr="00387E5E">
        <w:t xml:space="preserve"> HETUS is an effort to harmonize European time use surveys. Information and metadata are at: </w:t>
      </w:r>
      <w:hyperlink r:id="rId2" w:history="1">
        <w:r w:rsidRPr="00387E5E">
          <w:rPr>
            <w:rStyle w:val="Hyperlink"/>
            <w:color w:val="auto"/>
            <w:u w:val="none"/>
          </w:rPr>
          <w:t>https://www.h2.scb.se/tus/tus/default.htm</w:t>
        </w:r>
      </w:hyperlink>
    </w:p>
  </w:endnote>
  <w:endnote w:id="11">
    <w:p w14:paraId="3403AADE" w14:textId="77777777" w:rsidR="000F2700" w:rsidRPr="00387E5E" w:rsidRDefault="000F2700" w:rsidP="00387E5E">
      <w:pPr>
        <w:pStyle w:val="EndnoteText"/>
        <w:ind w:firstLine="0"/>
        <w:outlineLvl w:val="0"/>
      </w:pPr>
      <w:r w:rsidRPr="00387E5E">
        <w:rPr>
          <w:rStyle w:val="EndnoteReference"/>
        </w:rPr>
        <w:endnoteRef/>
      </w:r>
      <w:r w:rsidRPr="00387E5E">
        <w:t xml:space="preserve"> That is, except for the work not transferred but consumed directly by the worker. More precisely, Panel B of Figure 1 includes </w:t>
      </w:r>
      <w:r w:rsidRPr="00387E5E">
        <w:rPr>
          <w:i/>
        </w:rPr>
        <w:t>inter-age group</w:t>
      </w:r>
      <w:r w:rsidRPr="00387E5E">
        <w:t xml:space="preserve"> time transfers. In addition to the value of household labour consumed by the person working, transfers between people of the same age are also missing. Since time transfers flow almost exclusively among close relatives who are rarely of the same age, their volume is negligible.</w:t>
      </w:r>
    </w:p>
  </w:endnote>
  <w:endnote w:id="12">
    <w:p w14:paraId="41994A40" w14:textId="75DE78E2" w:rsidR="000F2700" w:rsidRPr="00387E5E" w:rsidRDefault="000F2700" w:rsidP="00387E5E">
      <w:pPr>
        <w:pStyle w:val="EndnoteText"/>
        <w:ind w:firstLine="0"/>
        <w:outlineLvl w:val="0"/>
      </w:pPr>
      <w:r w:rsidRPr="00387E5E">
        <w:rPr>
          <w:rStyle w:val="EndnoteReference"/>
        </w:rPr>
        <w:endnoteRef/>
      </w:r>
      <w:r w:rsidRPr="00387E5E">
        <w:t xml:space="preserve"> They are considered the balancing item between private consumption and disposable income (labour income less net public transfers) communicated among family members. Estimations are based on a household sharing model and a simple set of assumptions accommodating </w:t>
      </w:r>
      <w:r w:rsidR="002B7C36" w:rsidRPr="00387E5E">
        <w:t xml:space="preserve">global </w:t>
      </w:r>
      <w:r w:rsidRPr="00387E5E">
        <w:t>cross-country comparison (United Nations 2013). Calculations are made on large consumption surveys; in Europe, household budget surveys.</w:t>
      </w:r>
    </w:p>
  </w:endnote>
  <w:endnote w:id="13">
    <w:p w14:paraId="1E5F1F15" w14:textId="72D073E7" w:rsidR="000F2700" w:rsidRPr="00387E5E" w:rsidRDefault="000F2700" w:rsidP="00387E5E">
      <w:pPr>
        <w:pStyle w:val="EndnoteText"/>
        <w:ind w:firstLine="0"/>
        <w:outlineLvl w:val="0"/>
      </w:pPr>
      <w:r w:rsidRPr="00387E5E">
        <w:rPr>
          <w:rStyle w:val="EndnoteReference"/>
        </w:rPr>
        <w:endnoteRef/>
      </w:r>
      <w:r w:rsidRPr="00387E5E">
        <w:t xml:space="preserve"> We apply age limits of the total economy (cut off by the TLCD curves) in the respective countries.</w:t>
      </w:r>
    </w:p>
    <w:p w14:paraId="6DD4F38B" w14:textId="1E419103" w:rsidR="000F2700" w:rsidRPr="00C576AA" w:rsidRDefault="000F2700" w:rsidP="00911EB4">
      <w:pPr>
        <w:pStyle w:val="EndnoteText"/>
        <w:spacing w:line="480" w:lineRule="auto"/>
        <w:ind w:firstLine="0"/>
        <w:rPr>
          <w:sz w:val="24"/>
          <w:szCs w:val="24"/>
        </w:rPr>
      </w:pPr>
    </w:p>
    <w:p w14:paraId="39FF2644" w14:textId="77777777" w:rsidR="000F2700" w:rsidRDefault="000F2700" w:rsidP="00911EB4">
      <w:pPr>
        <w:spacing w:line="480" w:lineRule="auto"/>
        <w:ind w:firstLine="0"/>
      </w:pPr>
    </w:p>
    <w:p w14:paraId="5981CAC8" w14:textId="77777777" w:rsidR="000F2700" w:rsidRPr="00AF40A0" w:rsidRDefault="000F2700" w:rsidP="00911EB4">
      <w:pPr>
        <w:spacing w:line="480" w:lineRule="auto"/>
        <w:ind w:firstLine="0"/>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111492"/>
      <w:docPartObj>
        <w:docPartGallery w:val="Page Numbers (Bottom of Page)"/>
        <w:docPartUnique/>
      </w:docPartObj>
    </w:sdtPr>
    <w:sdtEndPr>
      <w:rPr>
        <w:noProof/>
      </w:rPr>
    </w:sdtEndPr>
    <w:sdtContent>
      <w:p w14:paraId="2FFE3934" w14:textId="27918978" w:rsidR="000F2700" w:rsidRDefault="000F2700" w:rsidP="0074130C">
        <w:pPr>
          <w:pStyle w:val="Footer"/>
        </w:pPr>
        <w:r>
          <w:fldChar w:fldCharType="begin"/>
        </w:r>
        <w:r>
          <w:instrText xml:space="preserve"> PAGE   \* MERGEFORMAT </w:instrText>
        </w:r>
        <w:r>
          <w:fldChar w:fldCharType="separate"/>
        </w:r>
        <w:r w:rsidR="00A26A67">
          <w:rPr>
            <w:noProof/>
          </w:rPr>
          <w:t>1</w:t>
        </w:r>
        <w:r>
          <w:rPr>
            <w:noProof/>
          </w:rPr>
          <w:fldChar w:fldCharType="end"/>
        </w:r>
      </w:p>
    </w:sdtContent>
  </w:sdt>
  <w:p w14:paraId="46E539A9" w14:textId="77777777" w:rsidR="000F2700" w:rsidRDefault="000F2700" w:rsidP="00741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A9F02" w14:textId="77777777" w:rsidR="00D44616" w:rsidRDefault="00D44616" w:rsidP="0074130C">
      <w:r>
        <w:separator/>
      </w:r>
    </w:p>
  </w:footnote>
  <w:footnote w:type="continuationSeparator" w:id="0">
    <w:p w14:paraId="054ABD70" w14:textId="77777777" w:rsidR="00D44616" w:rsidRDefault="00D44616" w:rsidP="00741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2E4BA" w14:textId="0BD7ECCF" w:rsidR="00235690" w:rsidRPr="00235690" w:rsidRDefault="00235690" w:rsidP="00235690">
    <w:pPr>
      <w:pStyle w:val="Header"/>
      <w:jc w:val="right"/>
      <w:rPr>
        <w:i/>
        <w:sz w:val="20"/>
        <w:szCs w:val="20"/>
      </w:rPr>
    </w:pPr>
    <w:r w:rsidRPr="00235690">
      <w:rPr>
        <w:sz w:val="20"/>
        <w:szCs w:val="20"/>
      </w:rPr>
      <w:t xml:space="preserve">Gal, Vanhuysse &amp; Vargha, </w:t>
    </w:r>
    <w:r>
      <w:rPr>
        <w:i/>
        <w:sz w:val="20"/>
        <w:szCs w:val="20"/>
      </w:rPr>
      <w:t>Pro-E</w:t>
    </w:r>
    <w:r w:rsidRPr="00235690">
      <w:rPr>
        <w:i/>
        <w:sz w:val="20"/>
        <w:szCs w:val="20"/>
      </w:rPr>
      <w:t>lderly Welfare States within Child-Oriented Societies</w:t>
    </w:r>
  </w:p>
  <w:p w14:paraId="62F2A26F" w14:textId="77777777" w:rsidR="00235690" w:rsidRDefault="00235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712"/>
    <w:multiLevelType w:val="hybridMultilevel"/>
    <w:tmpl w:val="27C063EC"/>
    <w:lvl w:ilvl="0" w:tplc="612C632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713144"/>
    <w:multiLevelType w:val="multilevel"/>
    <w:tmpl w:val="972A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C557C7B"/>
    <w:multiLevelType w:val="hybridMultilevel"/>
    <w:tmpl w:val="5D5ABE28"/>
    <w:lvl w:ilvl="0" w:tplc="A06862BC">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D2A6DEF"/>
    <w:multiLevelType w:val="singleLevel"/>
    <w:tmpl w:val="040E0011"/>
    <w:lvl w:ilvl="0">
      <w:start w:val="1"/>
      <w:numFmt w:val="decimal"/>
      <w:lvlText w:val="%1)"/>
      <w:lvlJc w:val="left"/>
      <w:pPr>
        <w:tabs>
          <w:tab w:val="num" w:pos="360"/>
        </w:tabs>
        <w:ind w:left="360" w:hanging="360"/>
      </w:pPr>
    </w:lvl>
  </w:abstractNum>
  <w:abstractNum w:abstractNumId="4">
    <w:nsid w:val="75D70761"/>
    <w:multiLevelType w:val="hybridMultilevel"/>
    <w:tmpl w:val="F3B89AB6"/>
    <w:lvl w:ilvl="0" w:tplc="E5B8434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A8622A"/>
    <w:multiLevelType w:val="hybridMultilevel"/>
    <w:tmpl w:val="AC560AEA"/>
    <w:lvl w:ilvl="0" w:tplc="A768AEB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60"/>
    <w:rsid w:val="00001153"/>
    <w:rsid w:val="0000175B"/>
    <w:rsid w:val="000045A6"/>
    <w:rsid w:val="00005E3B"/>
    <w:rsid w:val="00006037"/>
    <w:rsid w:val="000124AF"/>
    <w:rsid w:val="00016624"/>
    <w:rsid w:val="00017861"/>
    <w:rsid w:val="00020E65"/>
    <w:rsid w:val="00021D2A"/>
    <w:rsid w:val="00023E4A"/>
    <w:rsid w:val="00030687"/>
    <w:rsid w:val="00040B93"/>
    <w:rsid w:val="00042FCC"/>
    <w:rsid w:val="000468D6"/>
    <w:rsid w:val="00046ED8"/>
    <w:rsid w:val="0005011A"/>
    <w:rsid w:val="0005072A"/>
    <w:rsid w:val="0005100D"/>
    <w:rsid w:val="00056E47"/>
    <w:rsid w:val="00057E16"/>
    <w:rsid w:val="00061C59"/>
    <w:rsid w:val="00067277"/>
    <w:rsid w:val="00072E48"/>
    <w:rsid w:val="000734DB"/>
    <w:rsid w:val="000773A1"/>
    <w:rsid w:val="00080A1D"/>
    <w:rsid w:val="0008128B"/>
    <w:rsid w:val="00082C8D"/>
    <w:rsid w:val="00086D44"/>
    <w:rsid w:val="00090BE4"/>
    <w:rsid w:val="00091544"/>
    <w:rsid w:val="00091CED"/>
    <w:rsid w:val="000936F0"/>
    <w:rsid w:val="0009435C"/>
    <w:rsid w:val="00094D27"/>
    <w:rsid w:val="00094F3D"/>
    <w:rsid w:val="00095F93"/>
    <w:rsid w:val="000962B5"/>
    <w:rsid w:val="0009760A"/>
    <w:rsid w:val="000A54B5"/>
    <w:rsid w:val="000A68C2"/>
    <w:rsid w:val="000B027A"/>
    <w:rsid w:val="000B2369"/>
    <w:rsid w:val="000B5362"/>
    <w:rsid w:val="000C0415"/>
    <w:rsid w:val="000C4C4F"/>
    <w:rsid w:val="000C5A47"/>
    <w:rsid w:val="000C6ACB"/>
    <w:rsid w:val="000C717D"/>
    <w:rsid w:val="000D1D26"/>
    <w:rsid w:val="000D3E8D"/>
    <w:rsid w:val="000D3EC8"/>
    <w:rsid w:val="000D4C9D"/>
    <w:rsid w:val="000D5098"/>
    <w:rsid w:val="000D53D8"/>
    <w:rsid w:val="000D69C3"/>
    <w:rsid w:val="000E18E3"/>
    <w:rsid w:val="000F2700"/>
    <w:rsid w:val="000F5D62"/>
    <w:rsid w:val="000F6504"/>
    <w:rsid w:val="000F7935"/>
    <w:rsid w:val="00102147"/>
    <w:rsid w:val="00103504"/>
    <w:rsid w:val="00103D60"/>
    <w:rsid w:val="00103FAE"/>
    <w:rsid w:val="001052B0"/>
    <w:rsid w:val="00105AE8"/>
    <w:rsid w:val="00111E40"/>
    <w:rsid w:val="00111E92"/>
    <w:rsid w:val="0011328B"/>
    <w:rsid w:val="00114BC8"/>
    <w:rsid w:val="00116705"/>
    <w:rsid w:val="0011719B"/>
    <w:rsid w:val="00117D97"/>
    <w:rsid w:val="001204FF"/>
    <w:rsid w:val="00120F9B"/>
    <w:rsid w:val="00123F83"/>
    <w:rsid w:val="00124AD8"/>
    <w:rsid w:val="00124FDF"/>
    <w:rsid w:val="00125A73"/>
    <w:rsid w:val="00126336"/>
    <w:rsid w:val="0012678A"/>
    <w:rsid w:val="0012717F"/>
    <w:rsid w:val="00127496"/>
    <w:rsid w:val="0013014A"/>
    <w:rsid w:val="00134C10"/>
    <w:rsid w:val="001403EE"/>
    <w:rsid w:val="00140D43"/>
    <w:rsid w:val="001410D0"/>
    <w:rsid w:val="00141CEC"/>
    <w:rsid w:val="00145C2A"/>
    <w:rsid w:val="00146417"/>
    <w:rsid w:val="00146A12"/>
    <w:rsid w:val="00146EFB"/>
    <w:rsid w:val="00146F9C"/>
    <w:rsid w:val="00147631"/>
    <w:rsid w:val="00147D9C"/>
    <w:rsid w:val="00153AD7"/>
    <w:rsid w:val="00154FBE"/>
    <w:rsid w:val="00156564"/>
    <w:rsid w:val="00160083"/>
    <w:rsid w:val="00161B60"/>
    <w:rsid w:val="001623DD"/>
    <w:rsid w:val="001640E0"/>
    <w:rsid w:val="001708E3"/>
    <w:rsid w:val="00170DC1"/>
    <w:rsid w:val="001739B1"/>
    <w:rsid w:val="001762F0"/>
    <w:rsid w:val="00176C64"/>
    <w:rsid w:val="00180231"/>
    <w:rsid w:val="00184192"/>
    <w:rsid w:val="00192B51"/>
    <w:rsid w:val="00193D77"/>
    <w:rsid w:val="00195381"/>
    <w:rsid w:val="001A27A9"/>
    <w:rsid w:val="001A47EB"/>
    <w:rsid w:val="001A6661"/>
    <w:rsid w:val="001B3718"/>
    <w:rsid w:val="001B7499"/>
    <w:rsid w:val="001B7FE8"/>
    <w:rsid w:val="001C0D0E"/>
    <w:rsid w:val="001C31E2"/>
    <w:rsid w:val="001C58B2"/>
    <w:rsid w:val="001D133A"/>
    <w:rsid w:val="001D302B"/>
    <w:rsid w:val="001D3659"/>
    <w:rsid w:val="001E2899"/>
    <w:rsid w:val="001E2CD3"/>
    <w:rsid w:val="001E2EDF"/>
    <w:rsid w:val="001E3EE5"/>
    <w:rsid w:val="001E48C0"/>
    <w:rsid w:val="001E4A0A"/>
    <w:rsid w:val="001F1979"/>
    <w:rsid w:val="001F309F"/>
    <w:rsid w:val="001F3EB2"/>
    <w:rsid w:val="001F56AB"/>
    <w:rsid w:val="001F7CEC"/>
    <w:rsid w:val="00202E43"/>
    <w:rsid w:val="00203A88"/>
    <w:rsid w:val="00204126"/>
    <w:rsid w:val="00206BF3"/>
    <w:rsid w:val="00210321"/>
    <w:rsid w:val="00211653"/>
    <w:rsid w:val="00211853"/>
    <w:rsid w:val="00220165"/>
    <w:rsid w:val="00220300"/>
    <w:rsid w:val="00220906"/>
    <w:rsid w:val="00220C08"/>
    <w:rsid w:val="00220C6D"/>
    <w:rsid w:val="00221B43"/>
    <w:rsid w:val="00222E17"/>
    <w:rsid w:val="00225642"/>
    <w:rsid w:val="00226C40"/>
    <w:rsid w:val="0023148C"/>
    <w:rsid w:val="00231612"/>
    <w:rsid w:val="00235690"/>
    <w:rsid w:val="002364B5"/>
    <w:rsid w:val="002368D0"/>
    <w:rsid w:val="002379A1"/>
    <w:rsid w:val="002379D3"/>
    <w:rsid w:val="002404FB"/>
    <w:rsid w:val="00241182"/>
    <w:rsid w:val="00243AA1"/>
    <w:rsid w:val="002454DD"/>
    <w:rsid w:val="002503D7"/>
    <w:rsid w:val="002538D6"/>
    <w:rsid w:val="00257E25"/>
    <w:rsid w:val="00274F47"/>
    <w:rsid w:val="00280290"/>
    <w:rsid w:val="002809EF"/>
    <w:rsid w:val="00282E4F"/>
    <w:rsid w:val="00283689"/>
    <w:rsid w:val="00286D91"/>
    <w:rsid w:val="002920E1"/>
    <w:rsid w:val="0029336A"/>
    <w:rsid w:val="00293BD9"/>
    <w:rsid w:val="002B2FBF"/>
    <w:rsid w:val="002B4C7C"/>
    <w:rsid w:val="002B7C36"/>
    <w:rsid w:val="002C1795"/>
    <w:rsid w:val="002C1A4A"/>
    <w:rsid w:val="002D04C0"/>
    <w:rsid w:val="002D0872"/>
    <w:rsid w:val="002D2127"/>
    <w:rsid w:val="002D4444"/>
    <w:rsid w:val="002D66BC"/>
    <w:rsid w:val="002E09E7"/>
    <w:rsid w:val="002E1B39"/>
    <w:rsid w:val="002E237A"/>
    <w:rsid w:val="002E23B6"/>
    <w:rsid w:val="002E3A38"/>
    <w:rsid w:val="002E4C29"/>
    <w:rsid w:val="002F0039"/>
    <w:rsid w:val="002F1EA5"/>
    <w:rsid w:val="002F22C3"/>
    <w:rsid w:val="00302CD3"/>
    <w:rsid w:val="00302E9D"/>
    <w:rsid w:val="00312314"/>
    <w:rsid w:val="00312F17"/>
    <w:rsid w:val="00314B5A"/>
    <w:rsid w:val="003172C1"/>
    <w:rsid w:val="00327353"/>
    <w:rsid w:val="00334E30"/>
    <w:rsid w:val="00337A89"/>
    <w:rsid w:val="003415D2"/>
    <w:rsid w:val="00341EBF"/>
    <w:rsid w:val="00350B8C"/>
    <w:rsid w:val="0035516E"/>
    <w:rsid w:val="0035673F"/>
    <w:rsid w:val="00356AD6"/>
    <w:rsid w:val="003609CB"/>
    <w:rsid w:val="003629FC"/>
    <w:rsid w:val="00363CC4"/>
    <w:rsid w:val="003660D4"/>
    <w:rsid w:val="00366120"/>
    <w:rsid w:val="00372DB9"/>
    <w:rsid w:val="00373103"/>
    <w:rsid w:val="00373AAE"/>
    <w:rsid w:val="00375DF1"/>
    <w:rsid w:val="00375EED"/>
    <w:rsid w:val="00376126"/>
    <w:rsid w:val="00383ADA"/>
    <w:rsid w:val="00384D83"/>
    <w:rsid w:val="00386C49"/>
    <w:rsid w:val="00386FE1"/>
    <w:rsid w:val="00387E5E"/>
    <w:rsid w:val="00397B07"/>
    <w:rsid w:val="003A3E4E"/>
    <w:rsid w:val="003A50AC"/>
    <w:rsid w:val="003B192D"/>
    <w:rsid w:val="003B2A74"/>
    <w:rsid w:val="003B2CC7"/>
    <w:rsid w:val="003C1C20"/>
    <w:rsid w:val="003C6647"/>
    <w:rsid w:val="003C74AE"/>
    <w:rsid w:val="003C74ED"/>
    <w:rsid w:val="003D11AC"/>
    <w:rsid w:val="003D3228"/>
    <w:rsid w:val="003D3D3E"/>
    <w:rsid w:val="003D758F"/>
    <w:rsid w:val="003D7799"/>
    <w:rsid w:val="003E2342"/>
    <w:rsid w:val="003E4C53"/>
    <w:rsid w:val="003E6F0B"/>
    <w:rsid w:val="003F080C"/>
    <w:rsid w:val="003F0A7E"/>
    <w:rsid w:val="003F1281"/>
    <w:rsid w:val="003F1C7D"/>
    <w:rsid w:val="003F1C7F"/>
    <w:rsid w:val="003F5664"/>
    <w:rsid w:val="003F5702"/>
    <w:rsid w:val="00400823"/>
    <w:rsid w:val="00400E51"/>
    <w:rsid w:val="00402577"/>
    <w:rsid w:val="00406FDF"/>
    <w:rsid w:val="00407102"/>
    <w:rsid w:val="0040758E"/>
    <w:rsid w:val="00413487"/>
    <w:rsid w:val="00420695"/>
    <w:rsid w:val="00422FA5"/>
    <w:rsid w:val="00424905"/>
    <w:rsid w:val="0042627D"/>
    <w:rsid w:val="0042657C"/>
    <w:rsid w:val="00432818"/>
    <w:rsid w:val="00436230"/>
    <w:rsid w:val="00440C03"/>
    <w:rsid w:val="0044189A"/>
    <w:rsid w:val="00442569"/>
    <w:rsid w:val="00444266"/>
    <w:rsid w:val="004452FD"/>
    <w:rsid w:val="004460E9"/>
    <w:rsid w:val="004468B1"/>
    <w:rsid w:val="00452057"/>
    <w:rsid w:val="00452F85"/>
    <w:rsid w:val="00454C6A"/>
    <w:rsid w:val="00455D06"/>
    <w:rsid w:val="0046317D"/>
    <w:rsid w:val="00463B58"/>
    <w:rsid w:val="00470F0D"/>
    <w:rsid w:val="00472D15"/>
    <w:rsid w:val="00474454"/>
    <w:rsid w:val="00477696"/>
    <w:rsid w:val="00480865"/>
    <w:rsid w:val="00482B97"/>
    <w:rsid w:val="00484988"/>
    <w:rsid w:val="00484A2E"/>
    <w:rsid w:val="00487291"/>
    <w:rsid w:val="00495DF7"/>
    <w:rsid w:val="004972B2"/>
    <w:rsid w:val="00497678"/>
    <w:rsid w:val="004A010C"/>
    <w:rsid w:val="004A2B94"/>
    <w:rsid w:val="004A32FB"/>
    <w:rsid w:val="004A444E"/>
    <w:rsid w:val="004A7D86"/>
    <w:rsid w:val="004B2384"/>
    <w:rsid w:val="004B337B"/>
    <w:rsid w:val="004B4F24"/>
    <w:rsid w:val="004C30EB"/>
    <w:rsid w:val="004C58F7"/>
    <w:rsid w:val="004D2564"/>
    <w:rsid w:val="004D3CF6"/>
    <w:rsid w:val="004D4059"/>
    <w:rsid w:val="004D5DB6"/>
    <w:rsid w:val="004E2212"/>
    <w:rsid w:val="004E3B2D"/>
    <w:rsid w:val="004E5961"/>
    <w:rsid w:val="004F0620"/>
    <w:rsid w:val="004F0640"/>
    <w:rsid w:val="004F192E"/>
    <w:rsid w:val="004F3716"/>
    <w:rsid w:val="004F5FDC"/>
    <w:rsid w:val="004F662A"/>
    <w:rsid w:val="004F7107"/>
    <w:rsid w:val="005013CB"/>
    <w:rsid w:val="00503D29"/>
    <w:rsid w:val="005051FD"/>
    <w:rsid w:val="00505691"/>
    <w:rsid w:val="0051177B"/>
    <w:rsid w:val="00513F06"/>
    <w:rsid w:val="00520A3B"/>
    <w:rsid w:val="00523600"/>
    <w:rsid w:val="00524B1E"/>
    <w:rsid w:val="005257CC"/>
    <w:rsid w:val="0052754F"/>
    <w:rsid w:val="0053268E"/>
    <w:rsid w:val="00535203"/>
    <w:rsid w:val="00536D03"/>
    <w:rsid w:val="00536EDE"/>
    <w:rsid w:val="00543BF2"/>
    <w:rsid w:val="00545EA2"/>
    <w:rsid w:val="00550C3D"/>
    <w:rsid w:val="00555446"/>
    <w:rsid w:val="00555696"/>
    <w:rsid w:val="005556C6"/>
    <w:rsid w:val="005633AD"/>
    <w:rsid w:val="00564862"/>
    <w:rsid w:val="00566488"/>
    <w:rsid w:val="00566D25"/>
    <w:rsid w:val="00566DFE"/>
    <w:rsid w:val="0056773E"/>
    <w:rsid w:val="00571EA4"/>
    <w:rsid w:val="00573191"/>
    <w:rsid w:val="00577667"/>
    <w:rsid w:val="005826D8"/>
    <w:rsid w:val="00585664"/>
    <w:rsid w:val="00586CDE"/>
    <w:rsid w:val="005947F9"/>
    <w:rsid w:val="0059652A"/>
    <w:rsid w:val="00597B3D"/>
    <w:rsid w:val="005B319C"/>
    <w:rsid w:val="005B4675"/>
    <w:rsid w:val="005B65A9"/>
    <w:rsid w:val="005B6FE9"/>
    <w:rsid w:val="005C00AE"/>
    <w:rsid w:val="005C3987"/>
    <w:rsid w:val="005C6741"/>
    <w:rsid w:val="005C7932"/>
    <w:rsid w:val="005D0C45"/>
    <w:rsid w:val="005D2B57"/>
    <w:rsid w:val="005D4F54"/>
    <w:rsid w:val="005D5566"/>
    <w:rsid w:val="005D71E7"/>
    <w:rsid w:val="005D7A2D"/>
    <w:rsid w:val="005D7B52"/>
    <w:rsid w:val="005E2A9B"/>
    <w:rsid w:val="005E3819"/>
    <w:rsid w:val="005E5A37"/>
    <w:rsid w:val="005E5BDF"/>
    <w:rsid w:val="005F020A"/>
    <w:rsid w:val="005F7521"/>
    <w:rsid w:val="005F7867"/>
    <w:rsid w:val="0060281C"/>
    <w:rsid w:val="0061038B"/>
    <w:rsid w:val="00611496"/>
    <w:rsid w:val="00612734"/>
    <w:rsid w:val="006150A2"/>
    <w:rsid w:val="006241E5"/>
    <w:rsid w:val="006245B6"/>
    <w:rsid w:val="00624EB6"/>
    <w:rsid w:val="00625D1F"/>
    <w:rsid w:val="00626BE4"/>
    <w:rsid w:val="006341E7"/>
    <w:rsid w:val="00635E83"/>
    <w:rsid w:val="00640CA6"/>
    <w:rsid w:val="0064117D"/>
    <w:rsid w:val="00642384"/>
    <w:rsid w:val="0064353B"/>
    <w:rsid w:val="0064535B"/>
    <w:rsid w:val="0064551B"/>
    <w:rsid w:val="00651073"/>
    <w:rsid w:val="00651FB2"/>
    <w:rsid w:val="00652DAF"/>
    <w:rsid w:val="00653726"/>
    <w:rsid w:val="00660C91"/>
    <w:rsid w:val="00663CE9"/>
    <w:rsid w:val="00665B46"/>
    <w:rsid w:val="0067256C"/>
    <w:rsid w:val="00672FA7"/>
    <w:rsid w:val="00677902"/>
    <w:rsid w:val="00681220"/>
    <w:rsid w:val="00685E5D"/>
    <w:rsid w:val="00686554"/>
    <w:rsid w:val="0068683E"/>
    <w:rsid w:val="00690DA1"/>
    <w:rsid w:val="006921E1"/>
    <w:rsid w:val="00694ECC"/>
    <w:rsid w:val="00697B10"/>
    <w:rsid w:val="006A2138"/>
    <w:rsid w:val="006A3B44"/>
    <w:rsid w:val="006A5661"/>
    <w:rsid w:val="006A7617"/>
    <w:rsid w:val="006C3222"/>
    <w:rsid w:val="006C3570"/>
    <w:rsid w:val="006C36E3"/>
    <w:rsid w:val="006C3CDD"/>
    <w:rsid w:val="006C3F14"/>
    <w:rsid w:val="006D3BB0"/>
    <w:rsid w:val="006E1642"/>
    <w:rsid w:val="006E3225"/>
    <w:rsid w:val="006E336B"/>
    <w:rsid w:val="006E3A4F"/>
    <w:rsid w:val="006E4E8D"/>
    <w:rsid w:val="006E56F5"/>
    <w:rsid w:val="006E768B"/>
    <w:rsid w:val="006F1486"/>
    <w:rsid w:val="006F3335"/>
    <w:rsid w:val="006F3B23"/>
    <w:rsid w:val="006F3D89"/>
    <w:rsid w:val="006F4997"/>
    <w:rsid w:val="00700280"/>
    <w:rsid w:val="00700F60"/>
    <w:rsid w:val="00700FAC"/>
    <w:rsid w:val="00706A15"/>
    <w:rsid w:val="00711516"/>
    <w:rsid w:val="0071301F"/>
    <w:rsid w:val="007143BC"/>
    <w:rsid w:val="00714860"/>
    <w:rsid w:val="007157C0"/>
    <w:rsid w:val="00717108"/>
    <w:rsid w:val="0071767F"/>
    <w:rsid w:val="00717A3B"/>
    <w:rsid w:val="00720ACA"/>
    <w:rsid w:val="00721900"/>
    <w:rsid w:val="00721A07"/>
    <w:rsid w:val="00725AB2"/>
    <w:rsid w:val="00726E55"/>
    <w:rsid w:val="00727102"/>
    <w:rsid w:val="00732B6A"/>
    <w:rsid w:val="0074009B"/>
    <w:rsid w:val="0074130C"/>
    <w:rsid w:val="007415A5"/>
    <w:rsid w:val="00744F91"/>
    <w:rsid w:val="00747C6F"/>
    <w:rsid w:val="00750BAF"/>
    <w:rsid w:val="00750D6C"/>
    <w:rsid w:val="007526CD"/>
    <w:rsid w:val="00760BFF"/>
    <w:rsid w:val="00763B34"/>
    <w:rsid w:val="00764CB1"/>
    <w:rsid w:val="00765E2C"/>
    <w:rsid w:val="00770126"/>
    <w:rsid w:val="00771195"/>
    <w:rsid w:val="00772EDB"/>
    <w:rsid w:val="00774637"/>
    <w:rsid w:val="007753B3"/>
    <w:rsid w:val="00775FB2"/>
    <w:rsid w:val="00777621"/>
    <w:rsid w:val="0078216E"/>
    <w:rsid w:val="0078534C"/>
    <w:rsid w:val="00787038"/>
    <w:rsid w:val="0079217D"/>
    <w:rsid w:val="0079278B"/>
    <w:rsid w:val="007927E1"/>
    <w:rsid w:val="00792844"/>
    <w:rsid w:val="00793087"/>
    <w:rsid w:val="00793FC6"/>
    <w:rsid w:val="00795984"/>
    <w:rsid w:val="00797080"/>
    <w:rsid w:val="00797968"/>
    <w:rsid w:val="007A2DC3"/>
    <w:rsid w:val="007A3691"/>
    <w:rsid w:val="007B16CF"/>
    <w:rsid w:val="007B291A"/>
    <w:rsid w:val="007B47BA"/>
    <w:rsid w:val="007B4BC4"/>
    <w:rsid w:val="007B662E"/>
    <w:rsid w:val="007B7B3B"/>
    <w:rsid w:val="007C0FDA"/>
    <w:rsid w:val="007C195D"/>
    <w:rsid w:val="007C1E1A"/>
    <w:rsid w:val="007C349D"/>
    <w:rsid w:val="007C4E9F"/>
    <w:rsid w:val="007C6B13"/>
    <w:rsid w:val="007C7DC3"/>
    <w:rsid w:val="007D0ECB"/>
    <w:rsid w:val="007D58E6"/>
    <w:rsid w:val="007D5A76"/>
    <w:rsid w:val="007D6D71"/>
    <w:rsid w:val="007D7F2D"/>
    <w:rsid w:val="007E1B2A"/>
    <w:rsid w:val="007E1ECD"/>
    <w:rsid w:val="007E21D5"/>
    <w:rsid w:val="007E2E90"/>
    <w:rsid w:val="007E30D1"/>
    <w:rsid w:val="007E3A2E"/>
    <w:rsid w:val="007E5EE2"/>
    <w:rsid w:val="007E61A2"/>
    <w:rsid w:val="007E7CDD"/>
    <w:rsid w:val="007F2C96"/>
    <w:rsid w:val="007F2CA4"/>
    <w:rsid w:val="007F3A53"/>
    <w:rsid w:val="007F3FC9"/>
    <w:rsid w:val="007F51A4"/>
    <w:rsid w:val="007F6402"/>
    <w:rsid w:val="00800696"/>
    <w:rsid w:val="00801BAD"/>
    <w:rsid w:val="00802C4C"/>
    <w:rsid w:val="00806845"/>
    <w:rsid w:val="00806876"/>
    <w:rsid w:val="00807C7D"/>
    <w:rsid w:val="00807D45"/>
    <w:rsid w:val="00812990"/>
    <w:rsid w:val="00812A80"/>
    <w:rsid w:val="008152F6"/>
    <w:rsid w:val="00817DFD"/>
    <w:rsid w:val="0082273C"/>
    <w:rsid w:val="00822942"/>
    <w:rsid w:val="00824B01"/>
    <w:rsid w:val="0082624D"/>
    <w:rsid w:val="00827926"/>
    <w:rsid w:val="00827C00"/>
    <w:rsid w:val="008300C5"/>
    <w:rsid w:val="00830938"/>
    <w:rsid w:val="00834BB7"/>
    <w:rsid w:val="008408A0"/>
    <w:rsid w:val="008409CE"/>
    <w:rsid w:val="00846FED"/>
    <w:rsid w:val="008552E5"/>
    <w:rsid w:val="00861132"/>
    <w:rsid w:val="00863A2B"/>
    <w:rsid w:val="00867DBA"/>
    <w:rsid w:val="00871DC5"/>
    <w:rsid w:val="008729BA"/>
    <w:rsid w:val="00872F4B"/>
    <w:rsid w:val="00874D9B"/>
    <w:rsid w:val="00880541"/>
    <w:rsid w:val="00881D01"/>
    <w:rsid w:val="0088241C"/>
    <w:rsid w:val="00891A98"/>
    <w:rsid w:val="00892321"/>
    <w:rsid w:val="00892646"/>
    <w:rsid w:val="00892DF4"/>
    <w:rsid w:val="00894C91"/>
    <w:rsid w:val="008960BF"/>
    <w:rsid w:val="00896644"/>
    <w:rsid w:val="008978F2"/>
    <w:rsid w:val="008B0C30"/>
    <w:rsid w:val="008B1FC0"/>
    <w:rsid w:val="008B5EF8"/>
    <w:rsid w:val="008C05BB"/>
    <w:rsid w:val="008C32B6"/>
    <w:rsid w:val="008C5E34"/>
    <w:rsid w:val="008D0783"/>
    <w:rsid w:val="008D117F"/>
    <w:rsid w:val="008D2C62"/>
    <w:rsid w:val="008D385D"/>
    <w:rsid w:val="008D49DC"/>
    <w:rsid w:val="008D6BF5"/>
    <w:rsid w:val="008E0092"/>
    <w:rsid w:val="008E1551"/>
    <w:rsid w:val="008E22CC"/>
    <w:rsid w:val="008E61D8"/>
    <w:rsid w:val="008E6467"/>
    <w:rsid w:val="008F04AB"/>
    <w:rsid w:val="008F0556"/>
    <w:rsid w:val="008F08A3"/>
    <w:rsid w:val="008F0AA8"/>
    <w:rsid w:val="008F32F5"/>
    <w:rsid w:val="008F56C2"/>
    <w:rsid w:val="008F5DEB"/>
    <w:rsid w:val="008F6EAA"/>
    <w:rsid w:val="00900507"/>
    <w:rsid w:val="009006AE"/>
    <w:rsid w:val="009033CF"/>
    <w:rsid w:val="00903847"/>
    <w:rsid w:val="00911814"/>
    <w:rsid w:val="00911EB4"/>
    <w:rsid w:val="00913267"/>
    <w:rsid w:val="0091361D"/>
    <w:rsid w:val="00914F7A"/>
    <w:rsid w:val="00917333"/>
    <w:rsid w:val="00921EA3"/>
    <w:rsid w:val="00924B2E"/>
    <w:rsid w:val="0092568A"/>
    <w:rsid w:val="00932A3E"/>
    <w:rsid w:val="009425B7"/>
    <w:rsid w:val="00943E76"/>
    <w:rsid w:val="0094484F"/>
    <w:rsid w:val="00955FCA"/>
    <w:rsid w:val="00956946"/>
    <w:rsid w:val="009662C5"/>
    <w:rsid w:val="00966B12"/>
    <w:rsid w:val="009712F8"/>
    <w:rsid w:val="00971C2F"/>
    <w:rsid w:val="009728B5"/>
    <w:rsid w:val="009777CD"/>
    <w:rsid w:val="00977DFE"/>
    <w:rsid w:val="00977FD3"/>
    <w:rsid w:val="00981671"/>
    <w:rsid w:val="00982948"/>
    <w:rsid w:val="009833A5"/>
    <w:rsid w:val="009875D8"/>
    <w:rsid w:val="009910FB"/>
    <w:rsid w:val="009927D4"/>
    <w:rsid w:val="00997783"/>
    <w:rsid w:val="009A158A"/>
    <w:rsid w:val="009A25F8"/>
    <w:rsid w:val="009A5A49"/>
    <w:rsid w:val="009A7543"/>
    <w:rsid w:val="009B1F18"/>
    <w:rsid w:val="009B251C"/>
    <w:rsid w:val="009B426B"/>
    <w:rsid w:val="009B4419"/>
    <w:rsid w:val="009C0E91"/>
    <w:rsid w:val="009C472D"/>
    <w:rsid w:val="009C49BB"/>
    <w:rsid w:val="009C56CE"/>
    <w:rsid w:val="009D0ACF"/>
    <w:rsid w:val="009D1FA4"/>
    <w:rsid w:val="009D42CD"/>
    <w:rsid w:val="009D5556"/>
    <w:rsid w:val="009D7EC2"/>
    <w:rsid w:val="009D7F07"/>
    <w:rsid w:val="009E01E9"/>
    <w:rsid w:val="009E0465"/>
    <w:rsid w:val="009E0DF1"/>
    <w:rsid w:val="009E1C68"/>
    <w:rsid w:val="009E63C8"/>
    <w:rsid w:val="009E7F02"/>
    <w:rsid w:val="009F1D35"/>
    <w:rsid w:val="009F3367"/>
    <w:rsid w:val="009F595D"/>
    <w:rsid w:val="009F7E18"/>
    <w:rsid w:val="00A02218"/>
    <w:rsid w:val="00A04B9F"/>
    <w:rsid w:val="00A06DCA"/>
    <w:rsid w:val="00A1003D"/>
    <w:rsid w:val="00A108DB"/>
    <w:rsid w:val="00A112C6"/>
    <w:rsid w:val="00A13B40"/>
    <w:rsid w:val="00A144D8"/>
    <w:rsid w:val="00A17A36"/>
    <w:rsid w:val="00A17FCE"/>
    <w:rsid w:val="00A208B4"/>
    <w:rsid w:val="00A20C98"/>
    <w:rsid w:val="00A21BF0"/>
    <w:rsid w:val="00A21FF4"/>
    <w:rsid w:val="00A234D0"/>
    <w:rsid w:val="00A237F4"/>
    <w:rsid w:val="00A23C72"/>
    <w:rsid w:val="00A26765"/>
    <w:rsid w:val="00A26A67"/>
    <w:rsid w:val="00A26B84"/>
    <w:rsid w:val="00A26C50"/>
    <w:rsid w:val="00A27EDC"/>
    <w:rsid w:val="00A30656"/>
    <w:rsid w:val="00A32EA5"/>
    <w:rsid w:val="00A33586"/>
    <w:rsid w:val="00A36D3D"/>
    <w:rsid w:val="00A42006"/>
    <w:rsid w:val="00A42817"/>
    <w:rsid w:val="00A42B4A"/>
    <w:rsid w:val="00A43CDF"/>
    <w:rsid w:val="00A443CD"/>
    <w:rsid w:val="00A52A33"/>
    <w:rsid w:val="00A53908"/>
    <w:rsid w:val="00A56707"/>
    <w:rsid w:val="00A6048C"/>
    <w:rsid w:val="00A63E1A"/>
    <w:rsid w:val="00A67AA2"/>
    <w:rsid w:val="00A741B0"/>
    <w:rsid w:val="00A742FB"/>
    <w:rsid w:val="00A824AB"/>
    <w:rsid w:val="00A83E9D"/>
    <w:rsid w:val="00A8498A"/>
    <w:rsid w:val="00A90EB4"/>
    <w:rsid w:val="00A93853"/>
    <w:rsid w:val="00A94641"/>
    <w:rsid w:val="00A94CBE"/>
    <w:rsid w:val="00A96249"/>
    <w:rsid w:val="00AA08D1"/>
    <w:rsid w:val="00AB12A2"/>
    <w:rsid w:val="00AB4C84"/>
    <w:rsid w:val="00AB6A94"/>
    <w:rsid w:val="00AC2CDA"/>
    <w:rsid w:val="00AC7D0B"/>
    <w:rsid w:val="00AC7F3A"/>
    <w:rsid w:val="00AD19EA"/>
    <w:rsid w:val="00AD2230"/>
    <w:rsid w:val="00AE0FDA"/>
    <w:rsid w:val="00AE2816"/>
    <w:rsid w:val="00AE3E45"/>
    <w:rsid w:val="00AE4CAA"/>
    <w:rsid w:val="00AE50C2"/>
    <w:rsid w:val="00AE7635"/>
    <w:rsid w:val="00AE771E"/>
    <w:rsid w:val="00AE7F6F"/>
    <w:rsid w:val="00AF06C3"/>
    <w:rsid w:val="00AF378A"/>
    <w:rsid w:val="00AF3C27"/>
    <w:rsid w:val="00AF40A0"/>
    <w:rsid w:val="00AF486D"/>
    <w:rsid w:val="00AF5AA2"/>
    <w:rsid w:val="00AF63A2"/>
    <w:rsid w:val="00AF6D6A"/>
    <w:rsid w:val="00B01127"/>
    <w:rsid w:val="00B017A4"/>
    <w:rsid w:val="00B05474"/>
    <w:rsid w:val="00B111DB"/>
    <w:rsid w:val="00B15D2E"/>
    <w:rsid w:val="00B15DB3"/>
    <w:rsid w:val="00B16D9F"/>
    <w:rsid w:val="00B21766"/>
    <w:rsid w:val="00B224EF"/>
    <w:rsid w:val="00B232EE"/>
    <w:rsid w:val="00B23689"/>
    <w:rsid w:val="00B24D11"/>
    <w:rsid w:val="00B312C7"/>
    <w:rsid w:val="00B33215"/>
    <w:rsid w:val="00B35531"/>
    <w:rsid w:val="00B365D7"/>
    <w:rsid w:val="00B4112D"/>
    <w:rsid w:val="00B42C08"/>
    <w:rsid w:val="00B45D1B"/>
    <w:rsid w:val="00B4701C"/>
    <w:rsid w:val="00B50DCD"/>
    <w:rsid w:val="00B5207E"/>
    <w:rsid w:val="00B52F21"/>
    <w:rsid w:val="00B54A32"/>
    <w:rsid w:val="00B56332"/>
    <w:rsid w:val="00B56D55"/>
    <w:rsid w:val="00B57CF2"/>
    <w:rsid w:val="00B60AAA"/>
    <w:rsid w:val="00B61D72"/>
    <w:rsid w:val="00B745C9"/>
    <w:rsid w:val="00B74732"/>
    <w:rsid w:val="00B83F71"/>
    <w:rsid w:val="00B8489E"/>
    <w:rsid w:val="00B91565"/>
    <w:rsid w:val="00B96FAE"/>
    <w:rsid w:val="00BA0AB6"/>
    <w:rsid w:val="00BA0F08"/>
    <w:rsid w:val="00BA0FCF"/>
    <w:rsid w:val="00BA14C8"/>
    <w:rsid w:val="00BA1A08"/>
    <w:rsid w:val="00BA3ADE"/>
    <w:rsid w:val="00BA5221"/>
    <w:rsid w:val="00BA6F57"/>
    <w:rsid w:val="00BA73D4"/>
    <w:rsid w:val="00BA77F3"/>
    <w:rsid w:val="00BB14E8"/>
    <w:rsid w:val="00BB347B"/>
    <w:rsid w:val="00BB3683"/>
    <w:rsid w:val="00BB5A42"/>
    <w:rsid w:val="00BC5B70"/>
    <w:rsid w:val="00BC657F"/>
    <w:rsid w:val="00BC7B74"/>
    <w:rsid w:val="00BD12B0"/>
    <w:rsid w:val="00BD1BE4"/>
    <w:rsid w:val="00BD45F9"/>
    <w:rsid w:val="00BD53B0"/>
    <w:rsid w:val="00BD750D"/>
    <w:rsid w:val="00BE2EE3"/>
    <w:rsid w:val="00BE3F82"/>
    <w:rsid w:val="00BE427A"/>
    <w:rsid w:val="00BE6E6A"/>
    <w:rsid w:val="00BF524C"/>
    <w:rsid w:val="00BF56DA"/>
    <w:rsid w:val="00BF5974"/>
    <w:rsid w:val="00BF5AEB"/>
    <w:rsid w:val="00BF5B91"/>
    <w:rsid w:val="00BF6486"/>
    <w:rsid w:val="00BF6E4C"/>
    <w:rsid w:val="00BF6EF3"/>
    <w:rsid w:val="00C008A9"/>
    <w:rsid w:val="00C01163"/>
    <w:rsid w:val="00C059F8"/>
    <w:rsid w:val="00C121D4"/>
    <w:rsid w:val="00C12AC4"/>
    <w:rsid w:val="00C14EE6"/>
    <w:rsid w:val="00C15D7B"/>
    <w:rsid w:val="00C16256"/>
    <w:rsid w:val="00C17596"/>
    <w:rsid w:val="00C212CD"/>
    <w:rsid w:val="00C21B69"/>
    <w:rsid w:val="00C22CAD"/>
    <w:rsid w:val="00C23EE4"/>
    <w:rsid w:val="00C244C0"/>
    <w:rsid w:val="00C24BCA"/>
    <w:rsid w:val="00C269AE"/>
    <w:rsid w:val="00C273F8"/>
    <w:rsid w:val="00C3180F"/>
    <w:rsid w:val="00C32C99"/>
    <w:rsid w:val="00C35BCA"/>
    <w:rsid w:val="00C37973"/>
    <w:rsid w:val="00C516F0"/>
    <w:rsid w:val="00C52095"/>
    <w:rsid w:val="00C53A8B"/>
    <w:rsid w:val="00C5458B"/>
    <w:rsid w:val="00C576AA"/>
    <w:rsid w:val="00C605F9"/>
    <w:rsid w:val="00C64C59"/>
    <w:rsid w:val="00C655C2"/>
    <w:rsid w:val="00C6722B"/>
    <w:rsid w:val="00C72B5A"/>
    <w:rsid w:val="00C74813"/>
    <w:rsid w:val="00C74EE4"/>
    <w:rsid w:val="00C801FF"/>
    <w:rsid w:val="00C940A5"/>
    <w:rsid w:val="00C944F2"/>
    <w:rsid w:val="00C96A31"/>
    <w:rsid w:val="00CA4DA9"/>
    <w:rsid w:val="00CA76DB"/>
    <w:rsid w:val="00CB01F4"/>
    <w:rsid w:val="00CB227A"/>
    <w:rsid w:val="00CB43B4"/>
    <w:rsid w:val="00CB6BC6"/>
    <w:rsid w:val="00CB6F06"/>
    <w:rsid w:val="00CC1081"/>
    <w:rsid w:val="00CC1975"/>
    <w:rsid w:val="00CC4BB6"/>
    <w:rsid w:val="00CD288E"/>
    <w:rsid w:val="00CD3AD3"/>
    <w:rsid w:val="00CD485B"/>
    <w:rsid w:val="00CD4AEF"/>
    <w:rsid w:val="00CD7281"/>
    <w:rsid w:val="00CE126E"/>
    <w:rsid w:val="00CE301D"/>
    <w:rsid w:val="00CE31D8"/>
    <w:rsid w:val="00CE465F"/>
    <w:rsid w:val="00CE4A00"/>
    <w:rsid w:val="00CE5D6F"/>
    <w:rsid w:val="00CE79B6"/>
    <w:rsid w:val="00D00CB0"/>
    <w:rsid w:val="00D02E23"/>
    <w:rsid w:val="00D03E68"/>
    <w:rsid w:val="00D05D10"/>
    <w:rsid w:val="00D06C53"/>
    <w:rsid w:val="00D115ED"/>
    <w:rsid w:val="00D13ECF"/>
    <w:rsid w:val="00D1429E"/>
    <w:rsid w:val="00D149D6"/>
    <w:rsid w:val="00D14CF9"/>
    <w:rsid w:val="00D151BC"/>
    <w:rsid w:val="00D152F9"/>
    <w:rsid w:val="00D21C90"/>
    <w:rsid w:val="00D22554"/>
    <w:rsid w:val="00D2615D"/>
    <w:rsid w:val="00D26635"/>
    <w:rsid w:val="00D268D0"/>
    <w:rsid w:val="00D26C3D"/>
    <w:rsid w:val="00D27AC8"/>
    <w:rsid w:val="00D32B46"/>
    <w:rsid w:val="00D32F31"/>
    <w:rsid w:val="00D35195"/>
    <w:rsid w:val="00D35423"/>
    <w:rsid w:val="00D40EBC"/>
    <w:rsid w:val="00D42ABD"/>
    <w:rsid w:val="00D43F24"/>
    <w:rsid w:val="00D444DE"/>
    <w:rsid w:val="00D44616"/>
    <w:rsid w:val="00D44FE8"/>
    <w:rsid w:val="00D4701D"/>
    <w:rsid w:val="00D51000"/>
    <w:rsid w:val="00D607AF"/>
    <w:rsid w:val="00D63107"/>
    <w:rsid w:val="00D635CC"/>
    <w:rsid w:val="00D6394E"/>
    <w:rsid w:val="00D6401E"/>
    <w:rsid w:val="00D6546C"/>
    <w:rsid w:val="00D73E0D"/>
    <w:rsid w:val="00D777C5"/>
    <w:rsid w:val="00D8006E"/>
    <w:rsid w:val="00D86B51"/>
    <w:rsid w:val="00D9030F"/>
    <w:rsid w:val="00D92D17"/>
    <w:rsid w:val="00D93143"/>
    <w:rsid w:val="00D938D2"/>
    <w:rsid w:val="00D95A0A"/>
    <w:rsid w:val="00D97482"/>
    <w:rsid w:val="00DA03A6"/>
    <w:rsid w:val="00DA079A"/>
    <w:rsid w:val="00DB1C55"/>
    <w:rsid w:val="00DB660E"/>
    <w:rsid w:val="00DC05FB"/>
    <w:rsid w:val="00DC1EEB"/>
    <w:rsid w:val="00DC40EE"/>
    <w:rsid w:val="00DD0418"/>
    <w:rsid w:val="00DD15B4"/>
    <w:rsid w:val="00DD40F9"/>
    <w:rsid w:val="00DD5423"/>
    <w:rsid w:val="00DD61B5"/>
    <w:rsid w:val="00DD79C7"/>
    <w:rsid w:val="00DE00EC"/>
    <w:rsid w:val="00DE0CA1"/>
    <w:rsid w:val="00DE37EA"/>
    <w:rsid w:val="00DE3EE3"/>
    <w:rsid w:val="00DE575C"/>
    <w:rsid w:val="00DE5C89"/>
    <w:rsid w:val="00DF45FA"/>
    <w:rsid w:val="00DF4773"/>
    <w:rsid w:val="00DF47E5"/>
    <w:rsid w:val="00E00112"/>
    <w:rsid w:val="00E00958"/>
    <w:rsid w:val="00E00EC5"/>
    <w:rsid w:val="00E03076"/>
    <w:rsid w:val="00E101BC"/>
    <w:rsid w:val="00E1179B"/>
    <w:rsid w:val="00E11DEA"/>
    <w:rsid w:val="00E1334F"/>
    <w:rsid w:val="00E1345D"/>
    <w:rsid w:val="00E205B1"/>
    <w:rsid w:val="00E20B99"/>
    <w:rsid w:val="00E20D76"/>
    <w:rsid w:val="00E24278"/>
    <w:rsid w:val="00E269C1"/>
    <w:rsid w:val="00E27012"/>
    <w:rsid w:val="00E27421"/>
    <w:rsid w:val="00E27643"/>
    <w:rsid w:val="00E27814"/>
    <w:rsid w:val="00E27A90"/>
    <w:rsid w:val="00E302F4"/>
    <w:rsid w:val="00E31D94"/>
    <w:rsid w:val="00E31E71"/>
    <w:rsid w:val="00E323A0"/>
    <w:rsid w:val="00E34C96"/>
    <w:rsid w:val="00E3627B"/>
    <w:rsid w:val="00E4480D"/>
    <w:rsid w:val="00E4508B"/>
    <w:rsid w:val="00E47D83"/>
    <w:rsid w:val="00E47F30"/>
    <w:rsid w:val="00E505D5"/>
    <w:rsid w:val="00E53DE5"/>
    <w:rsid w:val="00E56671"/>
    <w:rsid w:val="00E5755F"/>
    <w:rsid w:val="00E60484"/>
    <w:rsid w:val="00E623AD"/>
    <w:rsid w:val="00E658AF"/>
    <w:rsid w:val="00E702D8"/>
    <w:rsid w:val="00E71117"/>
    <w:rsid w:val="00E72C57"/>
    <w:rsid w:val="00E7371C"/>
    <w:rsid w:val="00E74D73"/>
    <w:rsid w:val="00E81C6E"/>
    <w:rsid w:val="00E90EEA"/>
    <w:rsid w:val="00E939EE"/>
    <w:rsid w:val="00E945B7"/>
    <w:rsid w:val="00E9571C"/>
    <w:rsid w:val="00E96E58"/>
    <w:rsid w:val="00E97724"/>
    <w:rsid w:val="00E97ECE"/>
    <w:rsid w:val="00EA03CA"/>
    <w:rsid w:val="00EA0D75"/>
    <w:rsid w:val="00EA11E6"/>
    <w:rsid w:val="00EA342B"/>
    <w:rsid w:val="00EA6957"/>
    <w:rsid w:val="00EB1631"/>
    <w:rsid w:val="00EB1989"/>
    <w:rsid w:val="00EB7718"/>
    <w:rsid w:val="00EC38AC"/>
    <w:rsid w:val="00EC6B4A"/>
    <w:rsid w:val="00ED4EE3"/>
    <w:rsid w:val="00ED564F"/>
    <w:rsid w:val="00EE114B"/>
    <w:rsid w:val="00EE1D16"/>
    <w:rsid w:val="00EE5D41"/>
    <w:rsid w:val="00EE6FEC"/>
    <w:rsid w:val="00EE7744"/>
    <w:rsid w:val="00EE794B"/>
    <w:rsid w:val="00EF26CF"/>
    <w:rsid w:val="00EF2BC0"/>
    <w:rsid w:val="00EF32D7"/>
    <w:rsid w:val="00EF3B50"/>
    <w:rsid w:val="00EF3E99"/>
    <w:rsid w:val="00EF4698"/>
    <w:rsid w:val="00EF4979"/>
    <w:rsid w:val="00EF4CD5"/>
    <w:rsid w:val="00F01AB6"/>
    <w:rsid w:val="00F02078"/>
    <w:rsid w:val="00F0333D"/>
    <w:rsid w:val="00F03A0C"/>
    <w:rsid w:val="00F1455F"/>
    <w:rsid w:val="00F158D2"/>
    <w:rsid w:val="00F162A6"/>
    <w:rsid w:val="00F22D9E"/>
    <w:rsid w:val="00F25964"/>
    <w:rsid w:val="00F311BE"/>
    <w:rsid w:val="00F337DE"/>
    <w:rsid w:val="00F34587"/>
    <w:rsid w:val="00F35869"/>
    <w:rsid w:val="00F35C0E"/>
    <w:rsid w:val="00F36232"/>
    <w:rsid w:val="00F41ADE"/>
    <w:rsid w:val="00F43A9F"/>
    <w:rsid w:val="00F44F2C"/>
    <w:rsid w:val="00F51685"/>
    <w:rsid w:val="00F51A9B"/>
    <w:rsid w:val="00F54532"/>
    <w:rsid w:val="00F554E5"/>
    <w:rsid w:val="00F56A2C"/>
    <w:rsid w:val="00F63166"/>
    <w:rsid w:val="00F679B7"/>
    <w:rsid w:val="00F70FED"/>
    <w:rsid w:val="00F73B0E"/>
    <w:rsid w:val="00F74F7B"/>
    <w:rsid w:val="00F75F92"/>
    <w:rsid w:val="00F81599"/>
    <w:rsid w:val="00F82437"/>
    <w:rsid w:val="00F82E97"/>
    <w:rsid w:val="00F844A6"/>
    <w:rsid w:val="00F84CC7"/>
    <w:rsid w:val="00F8628F"/>
    <w:rsid w:val="00F86B7F"/>
    <w:rsid w:val="00F86D49"/>
    <w:rsid w:val="00F876C6"/>
    <w:rsid w:val="00FA5991"/>
    <w:rsid w:val="00FA7E86"/>
    <w:rsid w:val="00FB4334"/>
    <w:rsid w:val="00FB5E87"/>
    <w:rsid w:val="00FC18E2"/>
    <w:rsid w:val="00FC2F06"/>
    <w:rsid w:val="00FC490E"/>
    <w:rsid w:val="00FC60A3"/>
    <w:rsid w:val="00FD0DDB"/>
    <w:rsid w:val="00FD37F7"/>
    <w:rsid w:val="00FE21FD"/>
    <w:rsid w:val="00FE27E5"/>
    <w:rsid w:val="00FF0EFA"/>
    <w:rsid w:val="00FF227E"/>
    <w:rsid w:val="00FF3A23"/>
    <w:rsid w:val="00FF65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30C"/>
    <w:pPr>
      <w:spacing w:after="0" w:line="240" w:lineRule="auto"/>
      <w:ind w:firstLine="284"/>
      <w:jc w:val="both"/>
    </w:pPr>
    <w:rPr>
      <w:rFonts w:ascii="Times New Roman" w:hAnsi="Times New Roman" w:cs="Times New Roman"/>
      <w:sz w:val="24"/>
      <w:szCs w:val="24"/>
      <w:lang w:val="en-GB"/>
    </w:rPr>
  </w:style>
  <w:style w:type="paragraph" w:styleId="Heading1">
    <w:name w:val="heading 1"/>
    <w:basedOn w:val="Normal"/>
    <w:next w:val="Normal"/>
    <w:link w:val="Heading1Char"/>
    <w:uiPriority w:val="9"/>
    <w:qFormat/>
    <w:rsid w:val="00161B60"/>
    <w:pPr>
      <w:keepNext/>
      <w:keepLines/>
      <w:outlineLvl w:val="0"/>
    </w:pPr>
    <w:rPr>
      <w:rFonts w:eastAsiaTheme="majorEastAsia"/>
      <w:b/>
      <w:bCs/>
    </w:rPr>
  </w:style>
  <w:style w:type="paragraph" w:styleId="Heading2">
    <w:name w:val="heading 2"/>
    <w:basedOn w:val="Heading1"/>
    <w:next w:val="Normal"/>
    <w:link w:val="Heading2Char"/>
    <w:uiPriority w:val="9"/>
    <w:unhideWhenUsed/>
    <w:qFormat/>
    <w:rsid w:val="00566DFE"/>
    <w:pPr>
      <w:spacing w:before="240" w:after="120" w:line="264" w:lineRule="auto"/>
      <w:ind w:firstLine="0"/>
      <w:outlineLvl w:val="1"/>
    </w:pPr>
  </w:style>
  <w:style w:type="paragraph" w:styleId="Heading3">
    <w:name w:val="heading 3"/>
    <w:basedOn w:val="Normal"/>
    <w:next w:val="Normal"/>
    <w:link w:val="Heading3Char"/>
    <w:uiPriority w:val="9"/>
    <w:unhideWhenUsed/>
    <w:qFormat/>
    <w:rsid w:val="007B662E"/>
    <w:pPr>
      <w:keepNext/>
      <w:keepLines/>
      <w:outlineLvl w:val="2"/>
    </w:pPr>
    <w:rPr>
      <w:rFonts w:eastAsiaTheme="majorEastAsia"/>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B60"/>
    <w:rPr>
      <w:rFonts w:ascii="Times New Roman" w:eastAsiaTheme="majorEastAsia" w:hAnsi="Times New Roman" w:cs="Times New Roman"/>
      <w:b/>
      <w:bCs/>
      <w:sz w:val="24"/>
      <w:szCs w:val="24"/>
      <w:lang w:val="en-GB"/>
    </w:rPr>
  </w:style>
  <w:style w:type="character" w:styleId="CommentReference">
    <w:name w:val="annotation reference"/>
    <w:basedOn w:val="DefaultParagraphFont"/>
    <w:uiPriority w:val="99"/>
    <w:semiHidden/>
    <w:unhideWhenUsed/>
    <w:rsid w:val="00161B60"/>
    <w:rPr>
      <w:sz w:val="16"/>
      <w:szCs w:val="16"/>
    </w:rPr>
  </w:style>
  <w:style w:type="paragraph" w:styleId="CommentText">
    <w:name w:val="annotation text"/>
    <w:basedOn w:val="Normal"/>
    <w:link w:val="CommentTextChar"/>
    <w:uiPriority w:val="99"/>
    <w:unhideWhenUsed/>
    <w:rsid w:val="00161B60"/>
    <w:rPr>
      <w:sz w:val="20"/>
      <w:szCs w:val="20"/>
    </w:rPr>
  </w:style>
  <w:style w:type="character" w:customStyle="1" w:styleId="CommentTextChar">
    <w:name w:val="Comment Text Char"/>
    <w:basedOn w:val="DefaultParagraphFont"/>
    <w:link w:val="CommentText"/>
    <w:uiPriority w:val="99"/>
    <w:rsid w:val="00161B60"/>
    <w:rPr>
      <w:rFonts w:ascii="Times New Roman" w:hAnsi="Times New Roman" w:cs="Times New Roman"/>
      <w:sz w:val="20"/>
      <w:szCs w:val="20"/>
      <w:lang w:val="en-GB"/>
    </w:rPr>
  </w:style>
  <w:style w:type="paragraph" w:styleId="FootnoteText">
    <w:name w:val="footnote text"/>
    <w:basedOn w:val="Normal"/>
    <w:link w:val="FootnoteTextChar"/>
    <w:uiPriority w:val="99"/>
    <w:semiHidden/>
    <w:rsid w:val="00161B60"/>
    <w:rPr>
      <w:rFonts w:eastAsia="Times New Roman"/>
      <w:sz w:val="20"/>
      <w:szCs w:val="20"/>
      <w:lang w:val="en-US"/>
    </w:rPr>
  </w:style>
  <w:style w:type="character" w:customStyle="1" w:styleId="FootnoteTextChar">
    <w:name w:val="Footnote Text Char"/>
    <w:basedOn w:val="DefaultParagraphFont"/>
    <w:link w:val="FootnoteText"/>
    <w:uiPriority w:val="99"/>
    <w:rsid w:val="00161B60"/>
    <w:rPr>
      <w:rFonts w:ascii="Times New Roman" w:eastAsia="Times New Roman" w:hAnsi="Times New Roman" w:cs="Times New Roman"/>
      <w:sz w:val="20"/>
      <w:szCs w:val="20"/>
      <w:lang w:val="en-US"/>
    </w:rPr>
  </w:style>
  <w:style w:type="character" w:styleId="FootnoteReference">
    <w:name w:val="footnote reference"/>
    <w:aliases w:val="BVI fnr,Footnote symbol, BVI fnr"/>
    <w:semiHidden/>
    <w:rsid w:val="00161B60"/>
    <w:rPr>
      <w:vertAlign w:val="superscript"/>
    </w:rPr>
  </w:style>
  <w:style w:type="paragraph" w:styleId="BalloonText">
    <w:name w:val="Balloon Text"/>
    <w:basedOn w:val="Normal"/>
    <w:link w:val="BalloonTextChar"/>
    <w:uiPriority w:val="99"/>
    <w:semiHidden/>
    <w:unhideWhenUsed/>
    <w:rsid w:val="00161B60"/>
    <w:rPr>
      <w:rFonts w:ascii="Tahoma" w:hAnsi="Tahoma" w:cs="Tahoma"/>
      <w:sz w:val="16"/>
      <w:szCs w:val="16"/>
    </w:rPr>
  </w:style>
  <w:style w:type="character" w:customStyle="1" w:styleId="BalloonTextChar">
    <w:name w:val="Balloon Text Char"/>
    <w:basedOn w:val="DefaultParagraphFont"/>
    <w:link w:val="BalloonText"/>
    <w:uiPriority w:val="99"/>
    <w:semiHidden/>
    <w:rsid w:val="00161B60"/>
    <w:rPr>
      <w:rFonts w:ascii="Tahoma" w:hAnsi="Tahoma" w:cs="Tahoma"/>
      <w:sz w:val="16"/>
      <w:szCs w:val="16"/>
      <w:lang w:val="en-GB"/>
    </w:rPr>
  </w:style>
  <w:style w:type="character" w:styleId="Hyperlink">
    <w:name w:val="Hyperlink"/>
    <w:uiPriority w:val="99"/>
    <w:rsid w:val="00E658AF"/>
    <w:rPr>
      <w:color w:val="0000FF"/>
      <w:u w:val="single"/>
    </w:rPr>
  </w:style>
  <w:style w:type="table" w:styleId="TableGrid">
    <w:name w:val="Table Grid"/>
    <w:basedOn w:val="TableNormal"/>
    <w:uiPriority w:val="99"/>
    <w:rsid w:val="00E658A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BE3F82"/>
    <w:rPr>
      <w:sz w:val="20"/>
      <w:szCs w:val="20"/>
    </w:rPr>
  </w:style>
  <w:style w:type="character" w:customStyle="1" w:styleId="EndnoteTextChar">
    <w:name w:val="Endnote Text Char"/>
    <w:basedOn w:val="DefaultParagraphFont"/>
    <w:link w:val="EndnoteText"/>
    <w:uiPriority w:val="99"/>
    <w:rsid w:val="00BE3F82"/>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BE3F82"/>
    <w:rPr>
      <w:vertAlign w:val="superscript"/>
    </w:rPr>
  </w:style>
  <w:style w:type="character" w:customStyle="1" w:styleId="reference-text">
    <w:name w:val="reference-text"/>
    <w:basedOn w:val="DefaultParagraphFont"/>
    <w:uiPriority w:val="99"/>
    <w:rsid w:val="004C30EB"/>
    <w:rPr>
      <w:rFonts w:cs="Times New Roman"/>
    </w:rPr>
  </w:style>
  <w:style w:type="paragraph" w:customStyle="1" w:styleId="Volumereferences">
    <w:name w:val="Volume_references"/>
    <w:basedOn w:val="Normal"/>
    <w:link w:val="VolumereferencesZchn"/>
    <w:uiPriority w:val="99"/>
    <w:rsid w:val="004C30EB"/>
    <w:pPr>
      <w:spacing w:line="480" w:lineRule="auto"/>
      <w:ind w:left="709" w:hanging="709"/>
      <w:jc w:val="left"/>
    </w:pPr>
    <w:rPr>
      <w:rFonts w:ascii="Garamond" w:eastAsia="Times New Roman" w:hAnsi="Garamond"/>
      <w:lang w:val="en-US" w:eastAsia="de-DE"/>
    </w:rPr>
  </w:style>
  <w:style w:type="character" w:customStyle="1" w:styleId="VolumereferencesZchn">
    <w:name w:val="Volume_references Zchn"/>
    <w:basedOn w:val="DefaultParagraphFont"/>
    <w:link w:val="Volumereferences"/>
    <w:uiPriority w:val="99"/>
    <w:locked/>
    <w:rsid w:val="004C30EB"/>
    <w:rPr>
      <w:rFonts w:ascii="Garamond" w:eastAsia="Times New Roman" w:hAnsi="Garamond" w:cs="Times New Roman"/>
      <w:sz w:val="24"/>
      <w:szCs w:val="24"/>
      <w:lang w:val="en-US" w:eastAsia="de-DE"/>
    </w:rPr>
  </w:style>
  <w:style w:type="character" w:styleId="FollowedHyperlink">
    <w:name w:val="FollowedHyperlink"/>
    <w:basedOn w:val="DefaultParagraphFont"/>
    <w:uiPriority w:val="99"/>
    <w:semiHidden/>
    <w:unhideWhenUsed/>
    <w:rsid w:val="00452F8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11516"/>
    <w:rPr>
      <w:b/>
      <w:bCs/>
    </w:rPr>
  </w:style>
  <w:style w:type="character" w:customStyle="1" w:styleId="CommentSubjectChar">
    <w:name w:val="Comment Subject Char"/>
    <w:basedOn w:val="CommentTextChar"/>
    <w:link w:val="CommentSubject"/>
    <w:uiPriority w:val="99"/>
    <w:semiHidden/>
    <w:rsid w:val="00711516"/>
    <w:rPr>
      <w:rFonts w:ascii="Times New Roman" w:hAnsi="Times New Roman" w:cs="Times New Roman"/>
      <w:b/>
      <w:bCs/>
      <w:sz w:val="20"/>
      <w:szCs w:val="20"/>
      <w:lang w:val="en-GB"/>
    </w:rPr>
  </w:style>
  <w:style w:type="paragraph" w:styleId="Header">
    <w:name w:val="header"/>
    <w:basedOn w:val="Normal"/>
    <w:link w:val="HeaderChar"/>
    <w:uiPriority w:val="99"/>
    <w:unhideWhenUsed/>
    <w:rsid w:val="007B16CF"/>
    <w:pPr>
      <w:tabs>
        <w:tab w:val="center" w:pos="4536"/>
        <w:tab w:val="right" w:pos="9072"/>
      </w:tabs>
    </w:pPr>
  </w:style>
  <w:style w:type="character" w:customStyle="1" w:styleId="HeaderChar">
    <w:name w:val="Header Char"/>
    <w:basedOn w:val="DefaultParagraphFont"/>
    <w:link w:val="Header"/>
    <w:uiPriority w:val="99"/>
    <w:rsid w:val="007B16CF"/>
    <w:rPr>
      <w:rFonts w:ascii="Times New Roman" w:hAnsi="Times New Roman" w:cs="Times New Roman"/>
      <w:sz w:val="24"/>
      <w:szCs w:val="24"/>
      <w:lang w:val="en-GB"/>
    </w:rPr>
  </w:style>
  <w:style w:type="paragraph" w:styleId="Footer">
    <w:name w:val="footer"/>
    <w:basedOn w:val="Normal"/>
    <w:link w:val="FooterChar"/>
    <w:uiPriority w:val="99"/>
    <w:unhideWhenUsed/>
    <w:rsid w:val="007B16CF"/>
    <w:pPr>
      <w:tabs>
        <w:tab w:val="center" w:pos="4536"/>
        <w:tab w:val="right" w:pos="9072"/>
      </w:tabs>
    </w:pPr>
  </w:style>
  <w:style w:type="character" w:customStyle="1" w:styleId="FooterChar">
    <w:name w:val="Footer Char"/>
    <w:basedOn w:val="DefaultParagraphFont"/>
    <w:link w:val="Footer"/>
    <w:uiPriority w:val="99"/>
    <w:rsid w:val="007B16CF"/>
    <w:rPr>
      <w:rFonts w:ascii="Times New Roman" w:hAnsi="Times New Roman" w:cs="Times New Roman"/>
      <w:sz w:val="24"/>
      <w:szCs w:val="24"/>
      <w:lang w:val="en-GB"/>
    </w:rPr>
  </w:style>
  <w:style w:type="paragraph" w:styleId="ListParagraph">
    <w:name w:val="List Paragraph"/>
    <w:basedOn w:val="Normal"/>
    <w:uiPriority w:val="34"/>
    <w:qFormat/>
    <w:rsid w:val="00E4480D"/>
    <w:pPr>
      <w:spacing w:after="160" w:line="259" w:lineRule="auto"/>
      <w:ind w:left="720"/>
      <w:contextualSpacing/>
      <w:jc w:val="left"/>
    </w:pPr>
    <w:rPr>
      <w:rFonts w:asciiTheme="minorHAnsi" w:hAnsiTheme="minorHAnsi" w:cstheme="minorBidi"/>
      <w:sz w:val="22"/>
      <w:szCs w:val="22"/>
      <w:lang w:val="en-US"/>
    </w:rPr>
  </w:style>
  <w:style w:type="paragraph" w:styleId="Revision">
    <w:name w:val="Revision"/>
    <w:hidden/>
    <w:uiPriority w:val="99"/>
    <w:semiHidden/>
    <w:rsid w:val="00726E55"/>
    <w:pPr>
      <w:spacing w:after="0" w:line="240" w:lineRule="auto"/>
    </w:pPr>
    <w:rPr>
      <w:rFonts w:ascii="Times New Roman" w:hAnsi="Times New Roman" w:cs="Times New Roman"/>
      <w:sz w:val="24"/>
      <w:szCs w:val="24"/>
      <w:lang w:val="en-GB"/>
    </w:rPr>
  </w:style>
  <w:style w:type="character" w:customStyle="1" w:styleId="apple-converted-space">
    <w:name w:val="apple-converted-space"/>
    <w:basedOn w:val="DefaultParagraphFont"/>
    <w:rsid w:val="00EF4CD5"/>
  </w:style>
  <w:style w:type="character" w:customStyle="1" w:styleId="Heading2Char">
    <w:name w:val="Heading 2 Char"/>
    <w:basedOn w:val="DefaultParagraphFont"/>
    <w:link w:val="Heading2"/>
    <w:uiPriority w:val="9"/>
    <w:rsid w:val="00566DFE"/>
    <w:rPr>
      <w:rFonts w:ascii="Times New Roman" w:eastAsiaTheme="majorEastAsia" w:hAnsi="Times New Roman" w:cs="Times New Roman"/>
      <w:b/>
      <w:bCs/>
      <w:sz w:val="24"/>
      <w:szCs w:val="24"/>
      <w:lang w:val="en-GB"/>
    </w:rPr>
  </w:style>
  <w:style w:type="character" w:customStyle="1" w:styleId="Heading3Char">
    <w:name w:val="Heading 3 Char"/>
    <w:basedOn w:val="DefaultParagraphFont"/>
    <w:link w:val="Heading3"/>
    <w:uiPriority w:val="9"/>
    <w:rsid w:val="007B662E"/>
    <w:rPr>
      <w:rFonts w:ascii="Times New Roman" w:eastAsiaTheme="majorEastAsia" w:hAnsi="Times New Roman" w:cs="Times New Roman"/>
      <w:i/>
      <w:sz w:val="24"/>
      <w:szCs w:val="24"/>
      <w:lang w:val="en-US"/>
    </w:rPr>
  </w:style>
  <w:style w:type="paragraph" w:styleId="TOCHeading">
    <w:name w:val="TOC Heading"/>
    <w:basedOn w:val="Heading1"/>
    <w:next w:val="Normal"/>
    <w:uiPriority w:val="39"/>
    <w:unhideWhenUsed/>
    <w:qFormat/>
    <w:rsid w:val="007B662E"/>
    <w:pPr>
      <w:spacing w:before="240" w:line="259" w:lineRule="auto"/>
      <w:jc w:val="left"/>
      <w:outlineLvl w:val="9"/>
    </w:pPr>
    <w:rPr>
      <w:rFonts w:asciiTheme="majorHAnsi"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7B662E"/>
    <w:pPr>
      <w:spacing w:after="100"/>
    </w:pPr>
  </w:style>
  <w:style w:type="paragraph" w:styleId="TOC2">
    <w:name w:val="toc 2"/>
    <w:basedOn w:val="Normal"/>
    <w:next w:val="Normal"/>
    <w:autoRedefine/>
    <w:uiPriority w:val="39"/>
    <w:unhideWhenUsed/>
    <w:rsid w:val="007B662E"/>
    <w:pPr>
      <w:spacing w:after="100"/>
      <w:ind w:left="240"/>
    </w:pPr>
  </w:style>
  <w:style w:type="paragraph" w:styleId="TOC3">
    <w:name w:val="toc 3"/>
    <w:basedOn w:val="Normal"/>
    <w:next w:val="Normal"/>
    <w:autoRedefine/>
    <w:uiPriority w:val="39"/>
    <w:unhideWhenUsed/>
    <w:rsid w:val="007B662E"/>
    <w:pPr>
      <w:spacing w:after="100"/>
      <w:ind w:left="480"/>
    </w:pPr>
  </w:style>
  <w:style w:type="paragraph" w:styleId="NormalWeb">
    <w:name w:val="Normal (Web)"/>
    <w:basedOn w:val="Normal"/>
    <w:uiPriority w:val="99"/>
    <w:unhideWhenUsed/>
    <w:rsid w:val="00FC60A3"/>
    <w:pPr>
      <w:spacing w:before="100" w:beforeAutospacing="1" w:after="100" w:afterAutospacing="1"/>
      <w:ind w:firstLine="0"/>
      <w:jc w:val="left"/>
    </w:pPr>
    <w:rPr>
      <w:rFonts w:eastAsia="Times New Roman"/>
      <w:lang w:val="da-DK" w:eastAsia="da-DK"/>
    </w:rPr>
  </w:style>
  <w:style w:type="character" w:customStyle="1" w:styleId="databold">
    <w:name w:val="data_bold"/>
    <w:basedOn w:val="DefaultParagraphFont"/>
    <w:rsid w:val="00B5207E"/>
  </w:style>
  <w:style w:type="paragraph" w:customStyle="1" w:styleId="References">
    <w:name w:val="References"/>
    <w:qFormat/>
    <w:rsid w:val="008F5DEB"/>
    <w:pPr>
      <w:spacing w:before="240" w:after="0" w:line="240" w:lineRule="auto"/>
      <w:ind w:left="284" w:hanging="284"/>
    </w:pPr>
    <w:rPr>
      <w:rFonts w:ascii="Calibri" w:eastAsia="Cambria" w:hAnsi="Calibri" w:cs="Times New Roman"/>
      <w:szCs w:val="24"/>
      <w:lang w:val="en-GB"/>
    </w:rPr>
  </w:style>
  <w:style w:type="paragraph" w:customStyle="1" w:styleId="m-3658730856976712719gmail-msolistparagraph">
    <w:name w:val="m_-3658730856976712719gmail-msolistparagraph"/>
    <w:basedOn w:val="Normal"/>
    <w:rsid w:val="00B224EF"/>
    <w:pPr>
      <w:spacing w:before="100" w:beforeAutospacing="1" w:after="100" w:afterAutospacing="1"/>
      <w:ind w:firstLine="0"/>
      <w:jc w:val="left"/>
    </w:pPr>
    <w:rPr>
      <w:rFonts w:eastAsia="Times New Roman"/>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30C"/>
    <w:pPr>
      <w:spacing w:after="0" w:line="240" w:lineRule="auto"/>
      <w:ind w:firstLine="284"/>
      <w:jc w:val="both"/>
    </w:pPr>
    <w:rPr>
      <w:rFonts w:ascii="Times New Roman" w:hAnsi="Times New Roman" w:cs="Times New Roman"/>
      <w:sz w:val="24"/>
      <w:szCs w:val="24"/>
      <w:lang w:val="en-GB"/>
    </w:rPr>
  </w:style>
  <w:style w:type="paragraph" w:styleId="Heading1">
    <w:name w:val="heading 1"/>
    <w:basedOn w:val="Normal"/>
    <w:next w:val="Normal"/>
    <w:link w:val="Heading1Char"/>
    <w:uiPriority w:val="9"/>
    <w:qFormat/>
    <w:rsid w:val="00161B60"/>
    <w:pPr>
      <w:keepNext/>
      <w:keepLines/>
      <w:outlineLvl w:val="0"/>
    </w:pPr>
    <w:rPr>
      <w:rFonts w:eastAsiaTheme="majorEastAsia"/>
      <w:b/>
      <w:bCs/>
    </w:rPr>
  </w:style>
  <w:style w:type="paragraph" w:styleId="Heading2">
    <w:name w:val="heading 2"/>
    <w:basedOn w:val="Heading1"/>
    <w:next w:val="Normal"/>
    <w:link w:val="Heading2Char"/>
    <w:uiPriority w:val="9"/>
    <w:unhideWhenUsed/>
    <w:qFormat/>
    <w:rsid w:val="00566DFE"/>
    <w:pPr>
      <w:spacing w:before="240" w:after="120" w:line="264" w:lineRule="auto"/>
      <w:ind w:firstLine="0"/>
      <w:outlineLvl w:val="1"/>
    </w:pPr>
  </w:style>
  <w:style w:type="paragraph" w:styleId="Heading3">
    <w:name w:val="heading 3"/>
    <w:basedOn w:val="Normal"/>
    <w:next w:val="Normal"/>
    <w:link w:val="Heading3Char"/>
    <w:uiPriority w:val="9"/>
    <w:unhideWhenUsed/>
    <w:qFormat/>
    <w:rsid w:val="007B662E"/>
    <w:pPr>
      <w:keepNext/>
      <w:keepLines/>
      <w:outlineLvl w:val="2"/>
    </w:pPr>
    <w:rPr>
      <w:rFonts w:eastAsiaTheme="majorEastAsia"/>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B60"/>
    <w:rPr>
      <w:rFonts w:ascii="Times New Roman" w:eastAsiaTheme="majorEastAsia" w:hAnsi="Times New Roman" w:cs="Times New Roman"/>
      <w:b/>
      <w:bCs/>
      <w:sz w:val="24"/>
      <w:szCs w:val="24"/>
      <w:lang w:val="en-GB"/>
    </w:rPr>
  </w:style>
  <w:style w:type="character" w:styleId="CommentReference">
    <w:name w:val="annotation reference"/>
    <w:basedOn w:val="DefaultParagraphFont"/>
    <w:uiPriority w:val="99"/>
    <w:semiHidden/>
    <w:unhideWhenUsed/>
    <w:rsid w:val="00161B60"/>
    <w:rPr>
      <w:sz w:val="16"/>
      <w:szCs w:val="16"/>
    </w:rPr>
  </w:style>
  <w:style w:type="paragraph" w:styleId="CommentText">
    <w:name w:val="annotation text"/>
    <w:basedOn w:val="Normal"/>
    <w:link w:val="CommentTextChar"/>
    <w:uiPriority w:val="99"/>
    <w:unhideWhenUsed/>
    <w:rsid w:val="00161B60"/>
    <w:rPr>
      <w:sz w:val="20"/>
      <w:szCs w:val="20"/>
    </w:rPr>
  </w:style>
  <w:style w:type="character" w:customStyle="1" w:styleId="CommentTextChar">
    <w:name w:val="Comment Text Char"/>
    <w:basedOn w:val="DefaultParagraphFont"/>
    <w:link w:val="CommentText"/>
    <w:uiPriority w:val="99"/>
    <w:rsid w:val="00161B60"/>
    <w:rPr>
      <w:rFonts w:ascii="Times New Roman" w:hAnsi="Times New Roman" w:cs="Times New Roman"/>
      <w:sz w:val="20"/>
      <w:szCs w:val="20"/>
      <w:lang w:val="en-GB"/>
    </w:rPr>
  </w:style>
  <w:style w:type="paragraph" w:styleId="FootnoteText">
    <w:name w:val="footnote text"/>
    <w:basedOn w:val="Normal"/>
    <w:link w:val="FootnoteTextChar"/>
    <w:uiPriority w:val="99"/>
    <w:semiHidden/>
    <w:rsid w:val="00161B60"/>
    <w:rPr>
      <w:rFonts w:eastAsia="Times New Roman"/>
      <w:sz w:val="20"/>
      <w:szCs w:val="20"/>
      <w:lang w:val="en-US"/>
    </w:rPr>
  </w:style>
  <w:style w:type="character" w:customStyle="1" w:styleId="FootnoteTextChar">
    <w:name w:val="Footnote Text Char"/>
    <w:basedOn w:val="DefaultParagraphFont"/>
    <w:link w:val="FootnoteText"/>
    <w:uiPriority w:val="99"/>
    <w:rsid w:val="00161B60"/>
    <w:rPr>
      <w:rFonts w:ascii="Times New Roman" w:eastAsia="Times New Roman" w:hAnsi="Times New Roman" w:cs="Times New Roman"/>
      <w:sz w:val="20"/>
      <w:szCs w:val="20"/>
      <w:lang w:val="en-US"/>
    </w:rPr>
  </w:style>
  <w:style w:type="character" w:styleId="FootnoteReference">
    <w:name w:val="footnote reference"/>
    <w:aliases w:val="BVI fnr,Footnote symbol, BVI fnr"/>
    <w:semiHidden/>
    <w:rsid w:val="00161B60"/>
    <w:rPr>
      <w:vertAlign w:val="superscript"/>
    </w:rPr>
  </w:style>
  <w:style w:type="paragraph" w:styleId="BalloonText">
    <w:name w:val="Balloon Text"/>
    <w:basedOn w:val="Normal"/>
    <w:link w:val="BalloonTextChar"/>
    <w:uiPriority w:val="99"/>
    <w:semiHidden/>
    <w:unhideWhenUsed/>
    <w:rsid w:val="00161B60"/>
    <w:rPr>
      <w:rFonts w:ascii="Tahoma" w:hAnsi="Tahoma" w:cs="Tahoma"/>
      <w:sz w:val="16"/>
      <w:szCs w:val="16"/>
    </w:rPr>
  </w:style>
  <w:style w:type="character" w:customStyle="1" w:styleId="BalloonTextChar">
    <w:name w:val="Balloon Text Char"/>
    <w:basedOn w:val="DefaultParagraphFont"/>
    <w:link w:val="BalloonText"/>
    <w:uiPriority w:val="99"/>
    <w:semiHidden/>
    <w:rsid w:val="00161B60"/>
    <w:rPr>
      <w:rFonts w:ascii="Tahoma" w:hAnsi="Tahoma" w:cs="Tahoma"/>
      <w:sz w:val="16"/>
      <w:szCs w:val="16"/>
      <w:lang w:val="en-GB"/>
    </w:rPr>
  </w:style>
  <w:style w:type="character" w:styleId="Hyperlink">
    <w:name w:val="Hyperlink"/>
    <w:uiPriority w:val="99"/>
    <w:rsid w:val="00E658AF"/>
    <w:rPr>
      <w:color w:val="0000FF"/>
      <w:u w:val="single"/>
    </w:rPr>
  </w:style>
  <w:style w:type="table" w:styleId="TableGrid">
    <w:name w:val="Table Grid"/>
    <w:basedOn w:val="TableNormal"/>
    <w:uiPriority w:val="99"/>
    <w:rsid w:val="00E658A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BE3F82"/>
    <w:rPr>
      <w:sz w:val="20"/>
      <w:szCs w:val="20"/>
    </w:rPr>
  </w:style>
  <w:style w:type="character" w:customStyle="1" w:styleId="EndnoteTextChar">
    <w:name w:val="Endnote Text Char"/>
    <w:basedOn w:val="DefaultParagraphFont"/>
    <w:link w:val="EndnoteText"/>
    <w:uiPriority w:val="99"/>
    <w:rsid w:val="00BE3F82"/>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BE3F82"/>
    <w:rPr>
      <w:vertAlign w:val="superscript"/>
    </w:rPr>
  </w:style>
  <w:style w:type="character" w:customStyle="1" w:styleId="reference-text">
    <w:name w:val="reference-text"/>
    <w:basedOn w:val="DefaultParagraphFont"/>
    <w:uiPriority w:val="99"/>
    <w:rsid w:val="004C30EB"/>
    <w:rPr>
      <w:rFonts w:cs="Times New Roman"/>
    </w:rPr>
  </w:style>
  <w:style w:type="paragraph" w:customStyle="1" w:styleId="Volumereferences">
    <w:name w:val="Volume_references"/>
    <w:basedOn w:val="Normal"/>
    <w:link w:val="VolumereferencesZchn"/>
    <w:uiPriority w:val="99"/>
    <w:rsid w:val="004C30EB"/>
    <w:pPr>
      <w:spacing w:line="480" w:lineRule="auto"/>
      <w:ind w:left="709" w:hanging="709"/>
      <w:jc w:val="left"/>
    </w:pPr>
    <w:rPr>
      <w:rFonts w:ascii="Garamond" w:eastAsia="Times New Roman" w:hAnsi="Garamond"/>
      <w:lang w:val="en-US" w:eastAsia="de-DE"/>
    </w:rPr>
  </w:style>
  <w:style w:type="character" w:customStyle="1" w:styleId="VolumereferencesZchn">
    <w:name w:val="Volume_references Zchn"/>
    <w:basedOn w:val="DefaultParagraphFont"/>
    <w:link w:val="Volumereferences"/>
    <w:uiPriority w:val="99"/>
    <w:locked/>
    <w:rsid w:val="004C30EB"/>
    <w:rPr>
      <w:rFonts w:ascii="Garamond" w:eastAsia="Times New Roman" w:hAnsi="Garamond" w:cs="Times New Roman"/>
      <w:sz w:val="24"/>
      <w:szCs w:val="24"/>
      <w:lang w:val="en-US" w:eastAsia="de-DE"/>
    </w:rPr>
  </w:style>
  <w:style w:type="character" w:styleId="FollowedHyperlink">
    <w:name w:val="FollowedHyperlink"/>
    <w:basedOn w:val="DefaultParagraphFont"/>
    <w:uiPriority w:val="99"/>
    <w:semiHidden/>
    <w:unhideWhenUsed/>
    <w:rsid w:val="00452F8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11516"/>
    <w:rPr>
      <w:b/>
      <w:bCs/>
    </w:rPr>
  </w:style>
  <w:style w:type="character" w:customStyle="1" w:styleId="CommentSubjectChar">
    <w:name w:val="Comment Subject Char"/>
    <w:basedOn w:val="CommentTextChar"/>
    <w:link w:val="CommentSubject"/>
    <w:uiPriority w:val="99"/>
    <w:semiHidden/>
    <w:rsid w:val="00711516"/>
    <w:rPr>
      <w:rFonts w:ascii="Times New Roman" w:hAnsi="Times New Roman" w:cs="Times New Roman"/>
      <w:b/>
      <w:bCs/>
      <w:sz w:val="20"/>
      <w:szCs w:val="20"/>
      <w:lang w:val="en-GB"/>
    </w:rPr>
  </w:style>
  <w:style w:type="paragraph" w:styleId="Header">
    <w:name w:val="header"/>
    <w:basedOn w:val="Normal"/>
    <w:link w:val="HeaderChar"/>
    <w:uiPriority w:val="99"/>
    <w:unhideWhenUsed/>
    <w:rsid w:val="007B16CF"/>
    <w:pPr>
      <w:tabs>
        <w:tab w:val="center" w:pos="4536"/>
        <w:tab w:val="right" w:pos="9072"/>
      </w:tabs>
    </w:pPr>
  </w:style>
  <w:style w:type="character" w:customStyle="1" w:styleId="HeaderChar">
    <w:name w:val="Header Char"/>
    <w:basedOn w:val="DefaultParagraphFont"/>
    <w:link w:val="Header"/>
    <w:uiPriority w:val="99"/>
    <w:rsid w:val="007B16CF"/>
    <w:rPr>
      <w:rFonts w:ascii="Times New Roman" w:hAnsi="Times New Roman" w:cs="Times New Roman"/>
      <w:sz w:val="24"/>
      <w:szCs w:val="24"/>
      <w:lang w:val="en-GB"/>
    </w:rPr>
  </w:style>
  <w:style w:type="paragraph" w:styleId="Footer">
    <w:name w:val="footer"/>
    <w:basedOn w:val="Normal"/>
    <w:link w:val="FooterChar"/>
    <w:uiPriority w:val="99"/>
    <w:unhideWhenUsed/>
    <w:rsid w:val="007B16CF"/>
    <w:pPr>
      <w:tabs>
        <w:tab w:val="center" w:pos="4536"/>
        <w:tab w:val="right" w:pos="9072"/>
      </w:tabs>
    </w:pPr>
  </w:style>
  <w:style w:type="character" w:customStyle="1" w:styleId="FooterChar">
    <w:name w:val="Footer Char"/>
    <w:basedOn w:val="DefaultParagraphFont"/>
    <w:link w:val="Footer"/>
    <w:uiPriority w:val="99"/>
    <w:rsid w:val="007B16CF"/>
    <w:rPr>
      <w:rFonts w:ascii="Times New Roman" w:hAnsi="Times New Roman" w:cs="Times New Roman"/>
      <w:sz w:val="24"/>
      <w:szCs w:val="24"/>
      <w:lang w:val="en-GB"/>
    </w:rPr>
  </w:style>
  <w:style w:type="paragraph" w:styleId="ListParagraph">
    <w:name w:val="List Paragraph"/>
    <w:basedOn w:val="Normal"/>
    <w:uiPriority w:val="34"/>
    <w:qFormat/>
    <w:rsid w:val="00E4480D"/>
    <w:pPr>
      <w:spacing w:after="160" w:line="259" w:lineRule="auto"/>
      <w:ind w:left="720"/>
      <w:contextualSpacing/>
      <w:jc w:val="left"/>
    </w:pPr>
    <w:rPr>
      <w:rFonts w:asciiTheme="minorHAnsi" w:hAnsiTheme="minorHAnsi" w:cstheme="minorBidi"/>
      <w:sz w:val="22"/>
      <w:szCs w:val="22"/>
      <w:lang w:val="en-US"/>
    </w:rPr>
  </w:style>
  <w:style w:type="paragraph" w:styleId="Revision">
    <w:name w:val="Revision"/>
    <w:hidden/>
    <w:uiPriority w:val="99"/>
    <w:semiHidden/>
    <w:rsid w:val="00726E55"/>
    <w:pPr>
      <w:spacing w:after="0" w:line="240" w:lineRule="auto"/>
    </w:pPr>
    <w:rPr>
      <w:rFonts w:ascii="Times New Roman" w:hAnsi="Times New Roman" w:cs="Times New Roman"/>
      <w:sz w:val="24"/>
      <w:szCs w:val="24"/>
      <w:lang w:val="en-GB"/>
    </w:rPr>
  </w:style>
  <w:style w:type="character" w:customStyle="1" w:styleId="apple-converted-space">
    <w:name w:val="apple-converted-space"/>
    <w:basedOn w:val="DefaultParagraphFont"/>
    <w:rsid w:val="00EF4CD5"/>
  </w:style>
  <w:style w:type="character" w:customStyle="1" w:styleId="Heading2Char">
    <w:name w:val="Heading 2 Char"/>
    <w:basedOn w:val="DefaultParagraphFont"/>
    <w:link w:val="Heading2"/>
    <w:uiPriority w:val="9"/>
    <w:rsid w:val="00566DFE"/>
    <w:rPr>
      <w:rFonts w:ascii="Times New Roman" w:eastAsiaTheme="majorEastAsia" w:hAnsi="Times New Roman" w:cs="Times New Roman"/>
      <w:b/>
      <w:bCs/>
      <w:sz w:val="24"/>
      <w:szCs w:val="24"/>
      <w:lang w:val="en-GB"/>
    </w:rPr>
  </w:style>
  <w:style w:type="character" w:customStyle="1" w:styleId="Heading3Char">
    <w:name w:val="Heading 3 Char"/>
    <w:basedOn w:val="DefaultParagraphFont"/>
    <w:link w:val="Heading3"/>
    <w:uiPriority w:val="9"/>
    <w:rsid w:val="007B662E"/>
    <w:rPr>
      <w:rFonts w:ascii="Times New Roman" w:eastAsiaTheme="majorEastAsia" w:hAnsi="Times New Roman" w:cs="Times New Roman"/>
      <w:i/>
      <w:sz w:val="24"/>
      <w:szCs w:val="24"/>
      <w:lang w:val="en-US"/>
    </w:rPr>
  </w:style>
  <w:style w:type="paragraph" w:styleId="TOCHeading">
    <w:name w:val="TOC Heading"/>
    <w:basedOn w:val="Heading1"/>
    <w:next w:val="Normal"/>
    <w:uiPriority w:val="39"/>
    <w:unhideWhenUsed/>
    <w:qFormat/>
    <w:rsid w:val="007B662E"/>
    <w:pPr>
      <w:spacing w:before="240" w:line="259" w:lineRule="auto"/>
      <w:jc w:val="left"/>
      <w:outlineLvl w:val="9"/>
    </w:pPr>
    <w:rPr>
      <w:rFonts w:asciiTheme="majorHAnsi"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7B662E"/>
    <w:pPr>
      <w:spacing w:after="100"/>
    </w:pPr>
  </w:style>
  <w:style w:type="paragraph" w:styleId="TOC2">
    <w:name w:val="toc 2"/>
    <w:basedOn w:val="Normal"/>
    <w:next w:val="Normal"/>
    <w:autoRedefine/>
    <w:uiPriority w:val="39"/>
    <w:unhideWhenUsed/>
    <w:rsid w:val="007B662E"/>
    <w:pPr>
      <w:spacing w:after="100"/>
      <w:ind w:left="240"/>
    </w:pPr>
  </w:style>
  <w:style w:type="paragraph" w:styleId="TOC3">
    <w:name w:val="toc 3"/>
    <w:basedOn w:val="Normal"/>
    <w:next w:val="Normal"/>
    <w:autoRedefine/>
    <w:uiPriority w:val="39"/>
    <w:unhideWhenUsed/>
    <w:rsid w:val="007B662E"/>
    <w:pPr>
      <w:spacing w:after="100"/>
      <w:ind w:left="480"/>
    </w:pPr>
  </w:style>
  <w:style w:type="paragraph" w:styleId="NormalWeb">
    <w:name w:val="Normal (Web)"/>
    <w:basedOn w:val="Normal"/>
    <w:uiPriority w:val="99"/>
    <w:unhideWhenUsed/>
    <w:rsid w:val="00FC60A3"/>
    <w:pPr>
      <w:spacing w:before="100" w:beforeAutospacing="1" w:after="100" w:afterAutospacing="1"/>
      <w:ind w:firstLine="0"/>
      <w:jc w:val="left"/>
    </w:pPr>
    <w:rPr>
      <w:rFonts w:eastAsia="Times New Roman"/>
      <w:lang w:val="da-DK" w:eastAsia="da-DK"/>
    </w:rPr>
  </w:style>
  <w:style w:type="character" w:customStyle="1" w:styleId="databold">
    <w:name w:val="data_bold"/>
    <w:basedOn w:val="DefaultParagraphFont"/>
    <w:rsid w:val="00B5207E"/>
  </w:style>
  <w:style w:type="paragraph" w:customStyle="1" w:styleId="References">
    <w:name w:val="References"/>
    <w:qFormat/>
    <w:rsid w:val="008F5DEB"/>
    <w:pPr>
      <w:spacing w:before="240" w:after="0" w:line="240" w:lineRule="auto"/>
      <w:ind w:left="284" w:hanging="284"/>
    </w:pPr>
    <w:rPr>
      <w:rFonts w:ascii="Calibri" w:eastAsia="Cambria" w:hAnsi="Calibri" w:cs="Times New Roman"/>
      <w:szCs w:val="24"/>
      <w:lang w:val="en-GB"/>
    </w:rPr>
  </w:style>
  <w:style w:type="paragraph" w:customStyle="1" w:styleId="m-3658730856976712719gmail-msolistparagraph">
    <w:name w:val="m_-3658730856976712719gmail-msolistparagraph"/>
    <w:basedOn w:val="Normal"/>
    <w:rsid w:val="00B224EF"/>
    <w:pPr>
      <w:spacing w:before="100" w:beforeAutospacing="1" w:after="100" w:afterAutospacing="1"/>
      <w:ind w:firstLine="0"/>
      <w:jc w:val="left"/>
    </w:pPr>
    <w:rPr>
      <w:rFonts w:eastAsia="Times New Roman"/>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2883">
      <w:bodyDiv w:val="1"/>
      <w:marLeft w:val="0"/>
      <w:marRight w:val="0"/>
      <w:marTop w:val="0"/>
      <w:marBottom w:val="0"/>
      <w:divBdr>
        <w:top w:val="none" w:sz="0" w:space="0" w:color="auto"/>
        <w:left w:val="none" w:sz="0" w:space="0" w:color="auto"/>
        <w:bottom w:val="none" w:sz="0" w:space="0" w:color="auto"/>
        <w:right w:val="none" w:sz="0" w:space="0" w:color="auto"/>
      </w:divBdr>
    </w:div>
    <w:div w:id="511064444">
      <w:bodyDiv w:val="1"/>
      <w:marLeft w:val="0"/>
      <w:marRight w:val="0"/>
      <w:marTop w:val="0"/>
      <w:marBottom w:val="0"/>
      <w:divBdr>
        <w:top w:val="none" w:sz="0" w:space="0" w:color="auto"/>
        <w:left w:val="none" w:sz="0" w:space="0" w:color="auto"/>
        <w:bottom w:val="none" w:sz="0" w:space="0" w:color="auto"/>
        <w:right w:val="none" w:sz="0" w:space="0" w:color="auto"/>
      </w:divBdr>
    </w:div>
    <w:div w:id="625426611">
      <w:bodyDiv w:val="1"/>
      <w:marLeft w:val="0"/>
      <w:marRight w:val="0"/>
      <w:marTop w:val="0"/>
      <w:marBottom w:val="0"/>
      <w:divBdr>
        <w:top w:val="none" w:sz="0" w:space="0" w:color="auto"/>
        <w:left w:val="none" w:sz="0" w:space="0" w:color="auto"/>
        <w:bottom w:val="none" w:sz="0" w:space="0" w:color="auto"/>
        <w:right w:val="none" w:sz="0" w:space="0" w:color="auto"/>
      </w:divBdr>
    </w:div>
    <w:div w:id="828256457">
      <w:bodyDiv w:val="1"/>
      <w:marLeft w:val="0"/>
      <w:marRight w:val="0"/>
      <w:marTop w:val="0"/>
      <w:marBottom w:val="0"/>
      <w:divBdr>
        <w:top w:val="none" w:sz="0" w:space="0" w:color="auto"/>
        <w:left w:val="none" w:sz="0" w:space="0" w:color="auto"/>
        <w:bottom w:val="none" w:sz="0" w:space="0" w:color="auto"/>
        <w:right w:val="none" w:sz="0" w:space="0" w:color="auto"/>
      </w:divBdr>
    </w:div>
    <w:div w:id="878780069">
      <w:bodyDiv w:val="1"/>
      <w:marLeft w:val="0"/>
      <w:marRight w:val="0"/>
      <w:marTop w:val="0"/>
      <w:marBottom w:val="0"/>
      <w:divBdr>
        <w:top w:val="none" w:sz="0" w:space="0" w:color="auto"/>
        <w:left w:val="none" w:sz="0" w:space="0" w:color="auto"/>
        <w:bottom w:val="none" w:sz="0" w:space="0" w:color="auto"/>
        <w:right w:val="none" w:sz="0" w:space="0" w:color="auto"/>
      </w:divBdr>
    </w:div>
    <w:div w:id="1325402695">
      <w:bodyDiv w:val="1"/>
      <w:marLeft w:val="0"/>
      <w:marRight w:val="0"/>
      <w:marTop w:val="0"/>
      <w:marBottom w:val="0"/>
      <w:divBdr>
        <w:top w:val="none" w:sz="0" w:space="0" w:color="auto"/>
        <w:left w:val="none" w:sz="0" w:space="0" w:color="auto"/>
        <w:bottom w:val="none" w:sz="0" w:space="0" w:color="auto"/>
        <w:right w:val="none" w:sz="0" w:space="0" w:color="auto"/>
      </w:divBdr>
    </w:div>
    <w:div w:id="1486583774">
      <w:bodyDiv w:val="1"/>
      <w:marLeft w:val="0"/>
      <w:marRight w:val="0"/>
      <w:marTop w:val="0"/>
      <w:marBottom w:val="0"/>
      <w:divBdr>
        <w:top w:val="none" w:sz="0" w:space="0" w:color="auto"/>
        <w:left w:val="none" w:sz="0" w:space="0" w:color="auto"/>
        <w:bottom w:val="none" w:sz="0" w:space="0" w:color="auto"/>
        <w:right w:val="none" w:sz="0" w:space="0" w:color="auto"/>
      </w:divBdr>
    </w:div>
    <w:div w:id="1574655303">
      <w:bodyDiv w:val="1"/>
      <w:marLeft w:val="0"/>
      <w:marRight w:val="0"/>
      <w:marTop w:val="0"/>
      <w:marBottom w:val="0"/>
      <w:divBdr>
        <w:top w:val="none" w:sz="0" w:space="0" w:color="auto"/>
        <w:left w:val="none" w:sz="0" w:space="0" w:color="auto"/>
        <w:bottom w:val="none" w:sz="0" w:space="0" w:color="auto"/>
        <w:right w:val="none" w:sz="0" w:space="0" w:color="auto"/>
      </w:divBdr>
    </w:div>
    <w:div w:id="1756123730">
      <w:bodyDiv w:val="1"/>
      <w:marLeft w:val="0"/>
      <w:marRight w:val="0"/>
      <w:marTop w:val="0"/>
      <w:marBottom w:val="0"/>
      <w:divBdr>
        <w:top w:val="none" w:sz="0" w:space="0" w:color="auto"/>
        <w:left w:val="none" w:sz="0" w:space="0" w:color="auto"/>
        <w:bottom w:val="none" w:sz="0" w:space="0" w:color="auto"/>
        <w:right w:val="none" w:sz="0" w:space="0" w:color="auto"/>
      </w:divBdr>
    </w:div>
    <w:div w:id="1867984882">
      <w:bodyDiv w:val="1"/>
      <w:marLeft w:val="0"/>
      <w:marRight w:val="0"/>
      <w:marTop w:val="0"/>
      <w:marBottom w:val="0"/>
      <w:divBdr>
        <w:top w:val="none" w:sz="0" w:space="0" w:color="auto"/>
        <w:left w:val="none" w:sz="0" w:space="0" w:color="auto"/>
        <w:bottom w:val="none" w:sz="0" w:space="0" w:color="auto"/>
        <w:right w:val="none" w:sz="0" w:space="0" w:color="auto"/>
      </w:divBdr>
    </w:div>
    <w:div w:id="1997150870">
      <w:bodyDiv w:val="1"/>
      <w:marLeft w:val="0"/>
      <w:marRight w:val="0"/>
      <w:marTop w:val="0"/>
      <w:marBottom w:val="0"/>
      <w:divBdr>
        <w:top w:val="none" w:sz="0" w:space="0" w:color="auto"/>
        <w:left w:val="none" w:sz="0" w:space="0" w:color="auto"/>
        <w:bottom w:val="none" w:sz="0" w:space="0" w:color="auto"/>
        <w:right w:val="none" w:sz="0" w:space="0" w:color="auto"/>
      </w:divBdr>
    </w:div>
    <w:div w:id="2050955323">
      <w:bodyDiv w:val="1"/>
      <w:marLeft w:val="0"/>
      <w:marRight w:val="0"/>
      <w:marTop w:val="0"/>
      <w:marBottom w:val="0"/>
      <w:divBdr>
        <w:top w:val="none" w:sz="0" w:space="0" w:color="auto"/>
        <w:left w:val="none" w:sz="0" w:space="0" w:color="auto"/>
        <w:bottom w:val="none" w:sz="0" w:space="0" w:color="auto"/>
        <w:right w:val="none" w:sz="0" w:space="0" w:color="auto"/>
      </w:divBdr>
      <w:divsChild>
        <w:div w:id="1449154316">
          <w:blockQuote w:val="1"/>
          <w:marLeft w:val="189"/>
          <w:marRight w:val="0"/>
          <w:marTop w:val="0"/>
          <w:marBottom w:val="377"/>
          <w:divBdr>
            <w:top w:val="none" w:sz="0" w:space="0" w:color="auto"/>
            <w:left w:val="single" w:sz="6" w:space="9" w:color="DDDDDD"/>
            <w:bottom w:val="none" w:sz="0" w:space="0" w:color="auto"/>
            <w:right w:val="none" w:sz="0" w:space="0" w:color="auto"/>
          </w:divBdr>
        </w:div>
      </w:divsChild>
    </w:div>
    <w:div w:id="21381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hyperlink" Target="http://apps.webofknowledge.com.proxy1-bib.sdu.dk:2048/full_record.do?product=WOS&amp;search_mode=GeneralSearch&amp;qid=1&amp;SID=R2tDJdjU6qVi2ZhMAM2&amp;page=1&amp;doc=2"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vargha@demografia.h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www.ntaccounts.org" TargetMode="External"/><Relationship Id="rId20" Type="http://schemas.openxmlformats.org/officeDocument/2006/relationships/hyperlink" Target="http://witt.null2.net/shiny/agen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nhuysse@sam.sdu.dk"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mailto:gal@demografia.hu" TargetMode="External"/><Relationship Id="rId19"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taccounts.org" TargetMode="External"/><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h2.scb.se/tus/tus/default.htm" TargetMode="External"/><Relationship Id="rId1" Type="http://schemas.openxmlformats.org/officeDocument/2006/relationships/hyperlink" Target="http://www.ntaccoun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08B77-919C-433A-8593-C0E44D42693B}">
  <ds:schemaRefs>
    <ds:schemaRef ds:uri="http://schemas.openxmlformats.org/officeDocument/2006/bibliography"/>
  </ds:schemaRefs>
</ds:datastoreItem>
</file>

<file path=customXml/itemProps2.xml><?xml version="1.0" encoding="utf-8"?>
<ds:datastoreItem xmlns:ds="http://schemas.openxmlformats.org/officeDocument/2006/customXml" ds:itemID="{07222D80-4267-4EE3-AA6B-B6D0605B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6890</Words>
  <Characters>39275</Characters>
  <Application>Microsoft Office Word</Application>
  <DocSecurity>0</DocSecurity>
  <Lines>327</Lines>
  <Paragraphs>92</Paragraphs>
  <ScaleCrop>false</ScaleCrop>
  <HeadingPairs>
    <vt:vector size="8" baseType="variant">
      <vt:variant>
        <vt:lpstr>Title</vt:lpstr>
      </vt:variant>
      <vt:variant>
        <vt:i4>1</vt:i4>
      </vt:variant>
      <vt:variant>
        <vt:lpstr>Cím</vt:lpstr>
      </vt:variant>
      <vt:variant>
        <vt:i4>1</vt:i4>
      </vt:variant>
      <vt:variant>
        <vt:lpstr>Titel</vt:lpstr>
      </vt:variant>
      <vt:variant>
        <vt:i4>1</vt:i4>
      </vt:variant>
      <vt:variant>
        <vt:lpstr>Název</vt:lpstr>
      </vt:variant>
      <vt:variant>
        <vt:i4>1</vt:i4>
      </vt:variant>
    </vt:vector>
  </HeadingPairs>
  <TitlesOfParts>
    <vt:vector size="4" baseType="lpstr">
      <vt:lpstr/>
      <vt:lpstr/>
      <vt:lpstr/>
      <vt:lpstr/>
    </vt:vector>
  </TitlesOfParts>
  <Company>Syddansk Universitet - Samfundsvidenskab</Company>
  <LinksUpToDate>false</LinksUpToDate>
  <CharactersWithSpaces>46073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Vanhuysse</dc:creator>
  <cp:lastModifiedBy>Andrew Mason</cp:lastModifiedBy>
  <cp:revision>2</cp:revision>
  <cp:lastPrinted>2017-06-02T08:11:00Z</cp:lastPrinted>
  <dcterms:created xsi:type="dcterms:W3CDTF">2017-06-21T23:08:00Z</dcterms:created>
  <dcterms:modified xsi:type="dcterms:W3CDTF">2017-06-21T23:08:00Z</dcterms:modified>
</cp:coreProperties>
</file>